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DFE56" w14:textId="77777777" w:rsidR="00C82383" w:rsidRPr="00C82383" w:rsidRDefault="00C82383" w:rsidP="00C82383">
      <w:pPr>
        <w:pStyle w:val="Header"/>
        <w:tabs>
          <w:tab w:val="left" w:pos="426"/>
          <w:tab w:val="left" w:pos="567"/>
        </w:tabs>
        <w:ind w:right="36"/>
        <w:rPr>
          <w:rFonts w:ascii="Franklin Gothic Book" w:hAnsi="Franklin Gothic Book"/>
          <w:b/>
          <w:bCs/>
          <w:color w:val="2E74B5"/>
          <w:sz w:val="76"/>
          <w:szCs w:val="76"/>
        </w:rPr>
      </w:pPr>
      <w:bookmarkStart w:id="0" w:name="_Hlk182832398"/>
      <w:r w:rsidRPr="00C82383">
        <w:rPr>
          <w:b/>
          <w:bCs/>
          <w:noProof/>
        </w:rPr>
        <w:drawing>
          <wp:anchor distT="0" distB="0" distL="114300" distR="114300" simplePos="0" relativeHeight="251658240" behindDoc="0" locked="0" layoutInCell="1" allowOverlap="0" wp14:anchorId="692355D4" wp14:editId="0BA096DC">
            <wp:simplePos x="0" y="0"/>
            <wp:positionH relativeFrom="margin">
              <wp:align>left</wp:align>
            </wp:positionH>
            <wp:positionV relativeFrom="margin">
              <wp:align>top</wp:align>
            </wp:positionV>
            <wp:extent cx="961390" cy="1010285"/>
            <wp:effectExtent l="0" t="0" r="0" b="0"/>
            <wp:wrapSquare wrapText="bothSides"/>
            <wp:docPr id="468695602" name="Picture 3"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1987" descr="A blue circle with a dna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383">
        <w:rPr>
          <w:rFonts w:ascii="Franklin Gothic Book" w:hAnsi="Franklin Gothic Book"/>
          <w:b/>
          <w:bCs/>
          <w:color w:val="2E74B5"/>
          <w:sz w:val="52"/>
          <w:szCs w:val="52"/>
        </w:rPr>
        <w:t>Journal of Population Therapeutics &amp; Clinical Pharmacology</w:t>
      </w:r>
    </w:p>
    <w:p w14:paraId="1B52FE37" w14:textId="77777777" w:rsidR="00C82383" w:rsidRDefault="00C82383" w:rsidP="00B5628C">
      <w:pPr>
        <w:tabs>
          <w:tab w:val="left" w:pos="426"/>
          <w:tab w:val="left" w:pos="567"/>
        </w:tabs>
        <w:spacing w:after="0" w:line="240" w:lineRule="auto"/>
        <w:ind w:right="36"/>
        <w:jc w:val="right"/>
        <w:rPr>
          <w:rFonts w:ascii="Times New Roman" w:hAnsi="Times New Roman" w:cs="Times New Roman"/>
          <w:b/>
          <w:color w:val="000000"/>
        </w:rPr>
      </w:pPr>
    </w:p>
    <w:p w14:paraId="59EF36B5" w14:textId="77777777" w:rsidR="00C82383" w:rsidRPr="00EC4CB0" w:rsidRDefault="00C82383" w:rsidP="00C82383">
      <w:pPr>
        <w:tabs>
          <w:tab w:val="left" w:pos="426"/>
          <w:tab w:val="left" w:pos="567"/>
        </w:tabs>
        <w:spacing w:after="0"/>
        <w:ind w:right="36"/>
        <w:jc w:val="right"/>
        <w:rPr>
          <w:rFonts w:ascii="Times New Roman" w:hAnsi="Times New Roman" w:cs="Times New Roman"/>
          <w:b/>
          <w:color w:val="000000"/>
        </w:rPr>
      </w:pPr>
      <w:r w:rsidRPr="00EC4CB0">
        <w:rPr>
          <w:rFonts w:ascii="Times New Roman" w:hAnsi="Times New Roman" w:cs="Times New Roman"/>
          <w:b/>
          <w:color w:val="000000"/>
        </w:rPr>
        <w:t>RESEARCH ARTICLE</w:t>
      </w:r>
    </w:p>
    <w:p w14:paraId="49129678" w14:textId="7EFDC8F8" w:rsidR="00C82383" w:rsidRDefault="00C82383" w:rsidP="00C82383">
      <w:pPr>
        <w:tabs>
          <w:tab w:val="left" w:pos="426"/>
          <w:tab w:val="left" w:pos="567"/>
          <w:tab w:val="right" w:pos="9639"/>
        </w:tabs>
        <w:spacing w:after="0"/>
        <w:ind w:right="36"/>
        <w:jc w:val="right"/>
        <w:rPr>
          <w:rFonts w:ascii="Times New Roman" w:hAnsi="Times New Roman" w:cs="Times New Roman"/>
          <w:b/>
          <w:color w:val="000000"/>
        </w:rPr>
      </w:pPr>
      <w:r w:rsidRPr="00EC4CB0">
        <w:rPr>
          <w:rFonts w:ascii="Times New Roman" w:hAnsi="Times New Roman" w:cs="Times New Roman"/>
          <w:b/>
          <w:color w:val="000000"/>
        </w:rPr>
        <w:t xml:space="preserve">DOI: </w:t>
      </w:r>
      <w:bookmarkEnd w:id="0"/>
      <w:r w:rsidR="00B67333" w:rsidRPr="00B67333">
        <w:rPr>
          <w:rFonts w:ascii="Times New Roman" w:hAnsi="Times New Roman" w:cs="Times New Roman"/>
          <w:b/>
          <w:color w:val="000000"/>
        </w:rPr>
        <w:t>10.53555/ftm1jz78</w:t>
      </w:r>
    </w:p>
    <w:p w14:paraId="706C00D7" w14:textId="77777777" w:rsidR="00C82383" w:rsidRDefault="00C82383" w:rsidP="00C82383">
      <w:pPr>
        <w:tabs>
          <w:tab w:val="left" w:pos="426"/>
          <w:tab w:val="left" w:pos="567"/>
          <w:tab w:val="right" w:pos="9639"/>
        </w:tabs>
        <w:spacing w:after="0"/>
        <w:ind w:right="36"/>
        <w:jc w:val="right"/>
        <w:rPr>
          <w:rFonts w:ascii="Times New Roman" w:hAnsi="Times New Roman" w:cs="Times New Roman"/>
          <w:b/>
          <w:color w:val="000000"/>
        </w:rPr>
      </w:pPr>
    </w:p>
    <w:p w14:paraId="038C366C" w14:textId="516B2457" w:rsidR="0078777E" w:rsidRPr="00C82383" w:rsidRDefault="00C82383" w:rsidP="00C82383">
      <w:pPr>
        <w:pStyle w:val="NoSpacing"/>
        <w:jc w:val="center"/>
        <w:rPr>
          <w:rFonts w:ascii="Times New Roman" w:hAnsi="Times New Roman" w:cs="Times New Roman"/>
          <w:b/>
          <w:bCs/>
          <w:sz w:val="32"/>
          <w:szCs w:val="32"/>
        </w:rPr>
      </w:pPr>
      <w:r w:rsidRPr="00C82383">
        <w:rPr>
          <w:rFonts w:ascii="Times New Roman" w:hAnsi="Times New Roman" w:cs="Times New Roman"/>
          <w:b/>
          <w:bCs/>
          <w:sz w:val="32"/>
          <w:szCs w:val="32"/>
        </w:rPr>
        <w:t>COMPARATIVE EFFICACY AND SAFETY OF DIFFERENT PHARMACOLOGICAL TREATMENTS FOR ACUTE EXACERBATIONS OF CHRONIC OBSTRUCTIVE PULMONARY DISEASE (COPD)</w:t>
      </w:r>
    </w:p>
    <w:p w14:paraId="1817DAF2" w14:textId="77777777" w:rsidR="00C82383" w:rsidRDefault="00C82383" w:rsidP="00C82383">
      <w:pPr>
        <w:spacing w:after="0" w:line="240" w:lineRule="auto"/>
        <w:jc w:val="both"/>
        <w:rPr>
          <w:rFonts w:ascii="Times New Roman" w:hAnsi="Times New Roman" w:cs="Times New Roman"/>
          <w:b/>
          <w:bCs/>
          <w:sz w:val="24"/>
          <w:szCs w:val="24"/>
        </w:rPr>
      </w:pPr>
    </w:p>
    <w:p w14:paraId="35108B34" w14:textId="38906FA5" w:rsidR="005C3C07" w:rsidRPr="00C82383" w:rsidRDefault="005C3C07" w:rsidP="00C82383">
      <w:pPr>
        <w:spacing w:after="0" w:line="240" w:lineRule="auto"/>
        <w:jc w:val="center"/>
        <w:rPr>
          <w:rFonts w:ascii="Times New Roman" w:hAnsi="Times New Roman" w:cs="Times New Roman"/>
          <w:b/>
          <w:bCs/>
          <w:sz w:val="24"/>
          <w:szCs w:val="24"/>
        </w:rPr>
      </w:pPr>
      <w:r w:rsidRPr="00C82383">
        <w:rPr>
          <w:rFonts w:ascii="Times New Roman" w:hAnsi="Times New Roman" w:cs="Times New Roman"/>
          <w:b/>
          <w:bCs/>
          <w:sz w:val="24"/>
          <w:szCs w:val="24"/>
        </w:rPr>
        <w:t>Marryam Rauf</w:t>
      </w:r>
      <w:r w:rsidRPr="00C82383">
        <w:rPr>
          <w:rFonts w:ascii="Times New Roman" w:hAnsi="Times New Roman" w:cs="Times New Roman"/>
          <w:b/>
          <w:bCs/>
          <w:sz w:val="24"/>
          <w:szCs w:val="24"/>
          <w:vertAlign w:val="superscript"/>
        </w:rPr>
        <w:t>1</w:t>
      </w:r>
      <w:r w:rsidR="006D2A5C" w:rsidRPr="00C82383">
        <w:rPr>
          <w:rFonts w:ascii="Times New Roman" w:hAnsi="Times New Roman" w:cs="Times New Roman"/>
          <w:b/>
          <w:bCs/>
          <w:sz w:val="24"/>
          <w:szCs w:val="24"/>
          <w:vertAlign w:val="superscript"/>
        </w:rPr>
        <w:t>*</w:t>
      </w:r>
      <w:r w:rsidRPr="00C82383">
        <w:rPr>
          <w:rFonts w:ascii="Times New Roman" w:hAnsi="Times New Roman" w:cs="Times New Roman"/>
          <w:b/>
          <w:bCs/>
          <w:sz w:val="24"/>
          <w:szCs w:val="24"/>
        </w:rPr>
        <w:t>, Ahmed Hamad</w:t>
      </w:r>
      <w:r w:rsidRPr="00C82383">
        <w:rPr>
          <w:rFonts w:ascii="Times New Roman" w:hAnsi="Times New Roman" w:cs="Times New Roman"/>
          <w:b/>
          <w:bCs/>
          <w:sz w:val="24"/>
          <w:szCs w:val="24"/>
          <w:vertAlign w:val="superscript"/>
        </w:rPr>
        <w:t>2</w:t>
      </w:r>
      <w:r w:rsidRPr="00C82383">
        <w:rPr>
          <w:rFonts w:ascii="Times New Roman" w:hAnsi="Times New Roman" w:cs="Times New Roman"/>
          <w:b/>
          <w:bCs/>
          <w:sz w:val="24"/>
          <w:szCs w:val="24"/>
        </w:rPr>
        <w:t>, Nusrum Iqbal</w:t>
      </w:r>
      <w:r w:rsidRPr="00C82383">
        <w:rPr>
          <w:rFonts w:ascii="Times New Roman" w:hAnsi="Times New Roman" w:cs="Times New Roman"/>
          <w:b/>
          <w:bCs/>
          <w:sz w:val="24"/>
          <w:szCs w:val="24"/>
          <w:vertAlign w:val="superscript"/>
        </w:rPr>
        <w:t>3</w:t>
      </w:r>
      <w:r w:rsidRPr="00C82383">
        <w:rPr>
          <w:rFonts w:ascii="Times New Roman" w:hAnsi="Times New Roman" w:cs="Times New Roman"/>
          <w:b/>
          <w:bCs/>
          <w:sz w:val="24"/>
          <w:szCs w:val="24"/>
        </w:rPr>
        <w:t>, Bakhtawar Hasnain</w:t>
      </w:r>
      <w:r w:rsidRPr="00C82383">
        <w:rPr>
          <w:rFonts w:ascii="Times New Roman" w:hAnsi="Times New Roman" w:cs="Times New Roman"/>
          <w:b/>
          <w:bCs/>
          <w:sz w:val="24"/>
          <w:szCs w:val="24"/>
          <w:vertAlign w:val="superscript"/>
        </w:rPr>
        <w:t>4</w:t>
      </w:r>
      <w:r w:rsidRPr="00C82383">
        <w:rPr>
          <w:rFonts w:ascii="Times New Roman" w:hAnsi="Times New Roman" w:cs="Times New Roman"/>
          <w:b/>
          <w:bCs/>
          <w:sz w:val="24"/>
          <w:szCs w:val="24"/>
        </w:rPr>
        <w:t>, Ibraheem Rashid Shah</w:t>
      </w:r>
      <w:r w:rsidRPr="00C82383">
        <w:rPr>
          <w:rFonts w:ascii="Times New Roman" w:hAnsi="Times New Roman" w:cs="Times New Roman"/>
          <w:b/>
          <w:bCs/>
          <w:sz w:val="24"/>
          <w:szCs w:val="24"/>
          <w:vertAlign w:val="superscript"/>
        </w:rPr>
        <w:t>5</w:t>
      </w:r>
      <w:r w:rsidRPr="00C82383">
        <w:rPr>
          <w:rFonts w:ascii="Times New Roman" w:hAnsi="Times New Roman" w:cs="Times New Roman"/>
          <w:b/>
          <w:bCs/>
          <w:sz w:val="24"/>
          <w:szCs w:val="24"/>
        </w:rPr>
        <w:t>, Naser Faiz Uddin</w:t>
      </w:r>
      <w:r w:rsidRPr="00C82383">
        <w:rPr>
          <w:rFonts w:ascii="Times New Roman" w:hAnsi="Times New Roman" w:cs="Times New Roman"/>
          <w:b/>
          <w:bCs/>
          <w:sz w:val="24"/>
          <w:szCs w:val="24"/>
          <w:vertAlign w:val="superscript"/>
        </w:rPr>
        <w:t>6</w:t>
      </w:r>
      <w:r w:rsidRPr="00C82383">
        <w:rPr>
          <w:rFonts w:ascii="Times New Roman" w:hAnsi="Times New Roman" w:cs="Times New Roman"/>
          <w:b/>
          <w:bCs/>
          <w:sz w:val="24"/>
          <w:szCs w:val="24"/>
        </w:rPr>
        <w:t>, Hiba Butt</w:t>
      </w:r>
      <w:r w:rsidRPr="00C82383">
        <w:rPr>
          <w:rFonts w:ascii="Times New Roman" w:hAnsi="Times New Roman" w:cs="Times New Roman"/>
          <w:b/>
          <w:bCs/>
          <w:sz w:val="24"/>
          <w:szCs w:val="24"/>
          <w:vertAlign w:val="superscript"/>
        </w:rPr>
        <w:t>7</w:t>
      </w:r>
    </w:p>
    <w:p w14:paraId="6DBD0D2E" w14:textId="77777777" w:rsidR="00C82383" w:rsidRDefault="00C82383" w:rsidP="00C82383">
      <w:pPr>
        <w:spacing w:after="0" w:line="240" w:lineRule="auto"/>
        <w:jc w:val="both"/>
        <w:rPr>
          <w:rFonts w:ascii="Times New Roman" w:hAnsi="Times New Roman" w:cs="Times New Roman"/>
          <w:b/>
          <w:bCs/>
          <w:sz w:val="24"/>
          <w:szCs w:val="24"/>
          <w:vertAlign w:val="superscript"/>
        </w:rPr>
      </w:pPr>
    </w:p>
    <w:p w14:paraId="56B91CAD" w14:textId="66372CC2"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1</w:t>
      </w:r>
      <w:r w:rsidR="006D2A5C" w:rsidRPr="00C82383">
        <w:rPr>
          <w:rFonts w:ascii="Times New Roman" w:hAnsi="Times New Roman" w:cs="Times New Roman"/>
          <w:sz w:val="24"/>
          <w:szCs w:val="24"/>
          <w:vertAlign w:val="superscript"/>
        </w:rPr>
        <w:t>*</w:t>
      </w:r>
      <w:r w:rsidRPr="00C82383">
        <w:rPr>
          <w:rFonts w:ascii="Times New Roman" w:hAnsi="Times New Roman" w:cs="Times New Roman"/>
          <w:sz w:val="24"/>
          <w:szCs w:val="24"/>
        </w:rPr>
        <w:t>Senior Registrar, Cardiology Department, Saleem Memorial Hospital, Lahore</w:t>
      </w:r>
    </w:p>
    <w:p w14:paraId="168DFECA" w14:textId="08AF7D79"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2</w:t>
      </w:r>
      <w:r w:rsidRPr="00C82383">
        <w:rPr>
          <w:rFonts w:ascii="Times New Roman" w:hAnsi="Times New Roman" w:cs="Times New Roman"/>
          <w:sz w:val="24"/>
          <w:szCs w:val="24"/>
        </w:rPr>
        <w:t>Junior Clinical Fellow, ENT Department, Liverpool University Hospitals NHS Foundation Trust,UK</w:t>
      </w:r>
    </w:p>
    <w:p w14:paraId="607456C2" w14:textId="77777777"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3</w:t>
      </w:r>
      <w:r w:rsidRPr="00C82383">
        <w:rPr>
          <w:rFonts w:ascii="Times New Roman" w:hAnsi="Times New Roman" w:cs="Times New Roman"/>
          <w:sz w:val="24"/>
          <w:szCs w:val="24"/>
        </w:rPr>
        <w:t>Chairman Department of Internal Medicine, MD Health Center, Lahore</w:t>
      </w:r>
    </w:p>
    <w:p w14:paraId="6A314656" w14:textId="77777777"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4</w:t>
      </w:r>
      <w:r w:rsidRPr="00C82383">
        <w:rPr>
          <w:rFonts w:ascii="Times New Roman" w:hAnsi="Times New Roman" w:cs="Times New Roman"/>
          <w:sz w:val="24"/>
          <w:szCs w:val="24"/>
        </w:rPr>
        <w:t>Trainee Medical Officer, Medical Ward, Lady Reading Hospital, Peshawar</w:t>
      </w:r>
    </w:p>
    <w:p w14:paraId="7F6446BA" w14:textId="77777777" w:rsidR="006B299C"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5</w:t>
      </w:r>
      <w:r w:rsidRPr="00C82383">
        <w:rPr>
          <w:rFonts w:ascii="Times New Roman" w:hAnsi="Times New Roman" w:cs="Times New Roman"/>
          <w:sz w:val="24"/>
          <w:szCs w:val="24"/>
        </w:rPr>
        <w:t xml:space="preserve">Medical Officer, Medicine Department, </w:t>
      </w:r>
      <w:r w:rsidR="006B299C" w:rsidRPr="00C82383">
        <w:rPr>
          <w:rFonts w:ascii="Times New Roman" w:hAnsi="Times New Roman" w:cs="Times New Roman"/>
          <w:sz w:val="24"/>
          <w:szCs w:val="24"/>
        </w:rPr>
        <w:t>Surraya Bukhari Surgical Hospital Mailsi, District Vehari</w:t>
      </w:r>
    </w:p>
    <w:p w14:paraId="44FA4694" w14:textId="77777777"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6</w:t>
      </w:r>
      <w:r w:rsidRPr="00C82383">
        <w:rPr>
          <w:rFonts w:ascii="Times New Roman" w:hAnsi="Times New Roman" w:cs="Times New Roman"/>
          <w:sz w:val="24"/>
          <w:szCs w:val="24"/>
        </w:rPr>
        <w:t>General Practitioner, General Medicine</w:t>
      </w:r>
      <w:r w:rsidR="004B0A60" w:rsidRPr="00C82383">
        <w:rPr>
          <w:rFonts w:ascii="Times New Roman" w:hAnsi="Times New Roman" w:cs="Times New Roman"/>
          <w:sz w:val="24"/>
          <w:szCs w:val="24"/>
        </w:rPr>
        <w:t xml:space="preserve"> Department</w:t>
      </w:r>
      <w:r w:rsidR="006B299C" w:rsidRPr="00C82383">
        <w:rPr>
          <w:rFonts w:ascii="Times New Roman" w:hAnsi="Times New Roman" w:cs="Times New Roman"/>
          <w:sz w:val="24"/>
          <w:szCs w:val="24"/>
        </w:rPr>
        <w:t>,</w:t>
      </w:r>
      <w:r w:rsidRPr="00C82383">
        <w:rPr>
          <w:rFonts w:ascii="Times New Roman" w:hAnsi="Times New Roman" w:cs="Times New Roman"/>
          <w:sz w:val="24"/>
          <w:szCs w:val="24"/>
        </w:rPr>
        <w:t xml:space="preserve"> Al Hayl Medical Center, Fujairah, </w:t>
      </w:r>
      <w:r w:rsidR="004B0A60" w:rsidRPr="00C82383">
        <w:rPr>
          <w:rFonts w:ascii="Times New Roman" w:hAnsi="Times New Roman" w:cs="Times New Roman"/>
          <w:sz w:val="24"/>
          <w:szCs w:val="24"/>
        </w:rPr>
        <w:t xml:space="preserve">Rak Medical Health and Sciences Universiy, </w:t>
      </w:r>
      <w:r w:rsidRPr="00C82383">
        <w:rPr>
          <w:rFonts w:ascii="Times New Roman" w:hAnsi="Times New Roman" w:cs="Times New Roman"/>
          <w:sz w:val="24"/>
          <w:szCs w:val="24"/>
        </w:rPr>
        <w:t>UAE</w:t>
      </w:r>
    </w:p>
    <w:p w14:paraId="50728317" w14:textId="77777777" w:rsidR="005C3C07" w:rsidRPr="00C82383" w:rsidRDefault="005C3C07" w:rsidP="00C82383">
      <w:pPr>
        <w:spacing w:after="0" w:line="240" w:lineRule="auto"/>
        <w:jc w:val="center"/>
        <w:rPr>
          <w:rFonts w:ascii="Times New Roman" w:hAnsi="Times New Roman" w:cs="Times New Roman"/>
          <w:sz w:val="24"/>
          <w:szCs w:val="24"/>
        </w:rPr>
      </w:pPr>
      <w:r w:rsidRPr="00C82383">
        <w:rPr>
          <w:rFonts w:ascii="Times New Roman" w:hAnsi="Times New Roman" w:cs="Times New Roman"/>
          <w:sz w:val="24"/>
          <w:szCs w:val="24"/>
          <w:vertAlign w:val="superscript"/>
        </w:rPr>
        <w:t>7</w:t>
      </w:r>
      <w:r w:rsidRPr="00C82383">
        <w:rPr>
          <w:rFonts w:ascii="Times New Roman" w:hAnsi="Times New Roman" w:cs="Times New Roman"/>
          <w:sz w:val="24"/>
          <w:szCs w:val="24"/>
        </w:rPr>
        <w:t>House officer, Department of Medicine, Karachi Medical and Dental College</w:t>
      </w:r>
      <w:r w:rsidR="00BD6AD6" w:rsidRPr="00C82383">
        <w:rPr>
          <w:rFonts w:ascii="Times New Roman" w:hAnsi="Times New Roman" w:cs="Times New Roman"/>
          <w:sz w:val="24"/>
          <w:szCs w:val="24"/>
        </w:rPr>
        <w:t>, K</w:t>
      </w:r>
      <w:r w:rsidRPr="00C82383">
        <w:rPr>
          <w:rFonts w:ascii="Times New Roman" w:hAnsi="Times New Roman" w:cs="Times New Roman"/>
          <w:sz w:val="24"/>
          <w:szCs w:val="24"/>
        </w:rPr>
        <w:t>arachi</w:t>
      </w:r>
    </w:p>
    <w:p w14:paraId="5309BA5E" w14:textId="77777777" w:rsidR="00C82383" w:rsidRDefault="00C82383" w:rsidP="00C82383">
      <w:pPr>
        <w:spacing w:after="0" w:line="240" w:lineRule="auto"/>
        <w:jc w:val="center"/>
        <w:rPr>
          <w:rFonts w:ascii="Times New Roman" w:hAnsi="Times New Roman" w:cs="Times New Roman"/>
          <w:sz w:val="24"/>
          <w:szCs w:val="24"/>
        </w:rPr>
      </w:pPr>
    </w:p>
    <w:p w14:paraId="1A8D1708" w14:textId="7DE5203D" w:rsidR="00C82383" w:rsidRDefault="00C82383" w:rsidP="00C8238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6D2A5C" w:rsidRPr="00C82383">
        <w:rPr>
          <w:rFonts w:ascii="Times New Roman" w:hAnsi="Times New Roman" w:cs="Times New Roman"/>
          <w:b/>
          <w:bCs/>
          <w:sz w:val="24"/>
          <w:szCs w:val="24"/>
        </w:rPr>
        <w:t>Correspondence Author:</w:t>
      </w:r>
      <w:r w:rsidR="006D2A5C" w:rsidRPr="00C82383">
        <w:rPr>
          <w:rFonts w:ascii="Times New Roman" w:hAnsi="Times New Roman" w:cs="Times New Roman"/>
          <w:sz w:val="24"/>
          <w:szCs w:val="24"/>
        </w:rPr>
        <w:t xml:space="preserve"> Marryam Rauf</w:t>
      </w:r>
    </w:p>
    <w:p w14:paraId="541BF5B3" w14:textId="7746D947" w:rsidR="006D2A5C" w:rsidRPr="00C82383" w:rsidRDefault="00C82383" w:rsidP="00C82383">
      <w:pPr>
        <w:pBdr>
          <w:bottom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id:</w:t>
      </w:r>
      <w:r w:rsidRPr="00C82383">
        <w:rPr>
          <w:rFonts w:ascii="Times New Roman" w:hAnsi="Times New Roman" w:cs="Times New Roman"/>
          <w:sz w:val="24"/>
          <w:szCs w:val="24"/>
        </w:rPr>
        <w:t xml:space="preserve"> dr.marriam89@gmail.com</w:t>
      </w:r>
    </w:p>
    <w:p w14:paraId="2DCFF0B0" w14:textId="77777777" w:rsidR="00C82383" w:rsidRDefault="00C82383" w:rsidP="00C82383">
      <w:pPr>
        <w:spacing w:after="0" w:line="240" w:lineRule="auto"/>
        <w:jc w:val="both"/>
        <w:rPr>
          <w:rFonts w:ascii="Times New Roman" w:hAnsi="Times New Roman" w:cs="Times New Roman"/>
          <w:b/>
          <w:bCs/>
          <w:sz w:val="24"/>
          <w:szCs w:val="24"/>
        </w:rPr>
      </w:pPr>
    </w:p>
    <w:p w14:paraId="4FADC6E4" w14:textId="4F6D43D4" w:rsidR="00961335" w:rsidRPr="00C82383" w:rsidRDefault="00961335" w:rsidP="00C82383">
      <w:pPr>
        <w:spacing w:after="0" w:line="240" w:lineRule="auto"/>
        <w:jc w:val="both"/>
        <w:rPr>
          <w:rFonts w:ascii="Times New Roman" w:hAnsi="Times New Roman" w:cs="Times New Roman"/>
          <w:b/>
          <w:bCs/>
          <w:sz w:val="24"/>
          <w:szCs w:val="24"/>
        </w:rPr>
      </w:pPr>
      <w:r w:rsidRPr="00C82383">
        <w:rPr>
          <w:rFonts w:ascii="Times New Roman" w:hAnsi="Times New Roman" w:cs="Times New Roman"/>
          <w:b/>
          <w:bCs/>
          <w:sz w:val="24"/>
          <w:szCs w:val="24"/>
        </w:rPr>
        <w:t>Abstract</w:t>
      </w:r>
    </w:p>
    <w:p w14:paraId="58B40420" w14:textId="770C3AF1" w:rsidR="00AC0C3F" w:rsidRPr="00C82383" w:rsidRDefault="00585B69" w:rsidP="00C82383">
      <w:pPr>
        <w:spacing w:after="0" w:line="240" w:lineRule="auto"/>
        <w:jc w:val="both"/>
        <w:rPr>
          <w:rFonts w:ascii="Times New Roman" w:hAnsi="Times New Roman" w:cs="Times New Roman"/>
          <w:sz w:val="24"/>
          <w:szCs w:val="24"/>
        </w:rPr>
      </w:pPr>
      <w:r w:rsidRPr="00C82383">
        <w:rPr>
          <w:rFonts w:ascii="Times New Roman" w:hAnsi="Times New Roman" w:cs="Times New Roman"/>
          <w:b/>
          <w:bCs/>
          <w:sz w:val="24"/>
          <w:szCs w:val="24"/>
        </w:rPr>
        <w:t xml:space="preserve">Introduction: </w:t>
      </w:r>
      <w:r w:rsidRPr="00C82383">
        <w:rPr>
          <w:rFonts w:ascii="Times New Roman" w:hAnsi="Times New Roman" w:cs="Times New Roman"/>
          <w:sz w:val="24"/>
          <w:szCs w:val="24"/>
        </w:rPr>
        <w:t>Chronic obstructive pulmonary disease (COPD) is a complex and progressive respiratory disorder characterized by persistent airflow limitation and chronic inflammation of the airways.</w:t>
      </w:r>
      <w:r w:rsidRPr="00C82383">
        <w:rPr>
          <w:rFonts w:ascii="Times New Roman" w:hAnsi="Times New Roman" w:cs="Times New Roman"/>
          <w:b/>
          <w:bCs/>
          <w:sz w:val="24"/>
          <w:szCs w:val="24"/>
        </w:rPr>
        <w:t xml:space="preserve">Objective: </w:t>
      </w:r>
      <w:r w:rsidRPr="00C82383">
        <w:rPr>
          <w:rFonts w:ascii="Times New Roman" w:hAnsi="Times New Roman" w:cs="Times New Roman"/>
          <w:sz w:val="24"/>
          <w:szCs w:val="24"/>
        </w:rPr>
        <w:t>The main objective of the study is to find the comparison in efficacy and safety of different pharmacological treatments for acute exacerbations of chronic obstructive pulmonary disease (COPD).</w:t>
      </w:r>
      <w:r w:rsidRPr="00C82383">
        <w:rPr>
          <w:rFonts w:ascii="Times New Roman" w:hAnsi="Times New Roman" w:cs="Times New Roman"/>
          <w:b/>
          <w:bCs/>
          <w:sz w:val="24"/>
          <w:szCs w:val="24"/>
        </w:rPr>
        <w:t xml:space="preserve">Methodology: </w:t>
      </w:r>
      <w:r w:rsidRPr="00C82383">
        <w:rPr>
          <w:rFonts w:ascii="Times New Roman" w:hAnsi="Times New Roman" w:cs="Times New Roman"/>
          <w:sz w:val="24"/>
          <w:szCs w:val="24"/>
        </w:rPr>
        <w:t>This retrospective observational study was conducted at</w:t>
      </w:r>
      <w:r w:rsidR="00193E59" w:rsidRPr="00C82383">
        <w:rPr>
          <w:rFonts w:ascii="Times New Roman" w:hAnsi="Times New Roman" w:cs="Times New Roman"/>
          <w:sz w:val="24"/>
          <w:szCs w:val="24"/>
        </w:rPr>
        <w:t xml:space="preserve"> Saleem Memorial Hospital Lahore </w:t>
      </w:r>
      <w:r w:rsidRPr="00C82383">
        <w:rPr>
          <w:rFonts w:ascii="Times New Roman" w:hAnsi="Times New Roman" w:cs="Times New Roman"/>
          <w:sz w:val="24"/>
          <w:szCs w:val="24"/>
        </w:rPr>
        <w:t>from</w:t>
      </w:r>
      <w:r w:rsidR="00193E59" w:rsidRPr="00C82383">
        <w:rPr>
          <w:rFonts w:ascii="Times New Roman" w:hAnsi="Times New Roman" w:cs="Times New Roman"/>
          <w:sz w:val="24"/>
          <w:szCs w:val="24"/>
        </w:rPr>
        <w:t xml:space="preserve"> May 2024</w:t>
      </w:r>
      <w:r w:rsidRPr="00C82383">
        <w:rPr>
          <w:rFonts w:ascii="Times New Roman" w:hAnsi="Times New Roman" w:cs="Times New Roman"/>
          <w:sz w:val="24"/>
          <w:szCs w:val="24"/>
        </w:rPr>
        <w:t>. Data were collected from 235 patients.</w:t>
      </w:r>
      <w:r w:rsidR="00AC0C3F" w:rsidRPr="00C82383">
        <w:rPr>
          <w:rFonts w:ascii="Times New Roman" w:eastAsia="Times New Roman" w:hAnsi="Times New Roman" w:cs="Times New Roman"/>
          <w:kern w:val="0"/>
          <w:sz w:val="24"/>
          <w:szCs w:val="24"/>
        </w:rPr>
        <w:t>Data were collected from patient records, covering demographic variables (age, gender, smoking history), COPD severity (as per GOLD classification), and treatment regimens. Clinical outcomes such as symptom resolution, length of hospital stay, and time to next exacerbation were recorded, alongside safety outcomes, including adverse drug reactions and antibiotic resistance.</w:t>
      </w:r>
      <w:r w:rsidR="00AC0C3F" w:rsidRPr="00C82383">
        <w:rPr>
          <w:rFonts w:ascii="Times New Roman" w:eastAsia="Times New Roman" w:hAnsi="Times New Roman" w:cs="Times New Roman"/>
          <w:b/>
          <w:bCs/>
          <w:kern w:val="0"/>
          <w:sz w:val="24"/>
          <w:szCs w:val="24"/>
        </w:rPr>
        <w:t xml:space="preserve">Results: </w:t>
      </w:r>
      <w:r w:rsidR="00AC0C3F" w:rsidRPr="00C82383">
        <w:rPr>
          <w:rFonts w:ascii="Times New Roman" w:eastAsia="Times New Roman" w:hAnsi="Times New Roman" w:cs="Times New Roman"/>
          <w:kern w:val="0"/>
          <w:sz w:val="24"/>
          <w:szCs w:val="24"/>
        </w:rPr>
        <w:t xml:space="preserve">Data were collected from 235 patients </w:t>
      </w:r>
      <w:r w:rsidR="00AC0C3F" w:rsidRPr="00C82383">
        <w:rPr>
          <w:rFonts w:ascii="Times New Roman" w:hAnsi="Times New Roman" w:cs="Times New Roman"/>
          <w:sz w:val="24"/>
          <w:szCs w:val="24"/>
        </w:rPr>
        <w:t>mean age of the patients was 65 ± 9 years, with a slight predominance of males (60%) and a high prevalence of smoking history (80%). The majority of patients were in GOLD stage III/IV (75%), reflecting severe or very severe COPD. Hypertension (40%) and diabetes (25%) were common comorbidities across all groups, suggesting a population with significant health complexities.Patients receiving combination therapies experienced the highest rates of dyspnea relief (90%), cough reduction (88%), sputum clearance (85%), and overall symptom resolution (89%). Emerging therapies also performed well, with high rates of symptom improvement across all measures, particularly in dyspnea relief (87%) and overall symptom resolution (86%</w:t>
      </w:r>
      <w:r w:rsidR="00C82383" w:rsidRPr="00C82383">
        <w:rPr>
          <w:rFonts w:ascii="Times New Roman" w:hAnsi="Times New Roman" w:cs="Times New Roman"/>
          <w:sz w:val="24"/>
          <w:szCs w:val="24"/>
        </w:rPr>
        <w:t>).</w:t>
      </w:r>
      <w:r w:rsidR="00C82383" w:rsidRPr="00C82383">
        <w:rPr>
          <w:rFonts w:ascii="Times New Roman" w:hAnsi="Times New Roman" w:cs="Times New Roman"/>
          <w:b/>
          <w:bCs/>
          <w:sz w:val="24"/>
          <w:szCs w:val="24"/>
        </w:rPr>
        <w:t xml:space="preserve"> Conclusion:</w:t>
      </w:r>
      <w:r w:rsidR="00C82383" w:rsidRPr="00C82383">
        <w:rPr>
          <w:rFonts w:ascii="Times New Roman" w:hAnsi="Times New Roman" w:cs="Times New Roman"/>
          <w:sz w:val="24"/>
          <w:szCs w:val="24"/>
        </w:rPr>
        <w:t xml:space="preserve"> It</w:t>
      </w:r>
      <w:r w:rsidR="00AC0C3F" w:rsidRPr="00C82383">
        <w:rPr>
          <w:rFonts w:ascii="Times New Roman" w:hAnsi="Times New Roman" w:cs="Times New Roman"/>
          <w:sz w:val="24"/>
          <w:szCs w:val="24"/>
        </w:rPr>
        <w:t xml:space="preserve"> is concluded that combination therapies are the most effective option for managing acute exacerbations of chronic obstructive pulmonary disease (AECOPD), offering superior symptom resolution, prolonged exacerbation-free periods, and shorter hospital stays with an acceptable safety profile.</w:t>
      </w:r>
    </w:p>
    <w:p w14:paraId="0D0F1DAA" w14:textId="740A6390" w:rsidR="00961335" w:rsidRPr="00C82383" w:rsidRDefault="00961335" w:rsidP="00C82383">
      <w:pPr>
        <w:spacing w:after="0" w:line="240" w:lineRule="auto"/>
        <w:jc w:val="both"/>
        <w:rPr>
          <w:rFonts w:ascii="Times New Roman" w:hAnsi="Times New Roman" w:cs="Times New Roman"/>
          <w:b/>
          <w:bCs/>
          <w:sz w:val="24"/>
          <w:szCs w:val="24"/>
        </w:rPr>
      </w:pPr>
      <w:r w:rsidRPr="00C82383">
        <w:rPr>
          <w:rFonts w:ascii="Times New Roman" w:hAnsi="Times New Roman" w:cs="Times New Roman"/>
          <w:b/>
          <w:bCs/>
          <w:sz w:val="24"/>
          <w:szCs w:val="24"/>
        </w:rPr>
        <w:lastRenderedPageBreak/>
        <w:t>Introduction</w:t>
      </w:r>
    </w:p>
    <w:p w14:paraId="17F1B4AA" w14:textId="77777777" w:rsidR="00961335" w:rsidRPr="00C82383" w:rsidRDefault="00961335" w:rsidP="00C82383">
      <w:pPr>
        <w:pStyle w:val="NormalWeb"/>
        <w:spacing w:before="0" w:beforeAutospacing="0" w:after="0" w:afterAutospacing="0"/>
        <w:jc w:val="both"/>
      </w:pPr>
      <w:r w:rsidRPr="00C82383">
        <w:t>Chronic obstructive pulmonary disease (COPD) is a complex and progressive respiratory disorder characterized by persistent airflow limitation and chronic inflammation of the airways. The condition is a major global health challenge, contributing significantly to morbidity and mortality worldwide. Acute exacerbations of COPD (AECOPD) represent periods of worsened respiratory symptoms that often lead to additional airflow obstruction, heightened inflammation, and systemic complications</w:t>
      </w:r>
      <w:r w:rsidR="00585B69" w:rsidRPr="00C82383">
        <w:t xml:space="preserve"> [1]</w:t>
      </w:r>
      <w:r w:rsidRPr="00C82383">
        <w:t>. These exacerbations are a critical factor in the overall disease trajectory, driving accelerated decline in lung function, reduced quality of life, and substantial healthcare utilization.AECOPD is commonly triggered by infections, both viral and bacterial, or environmental factors such as exposure to pollutants and allergens. These exacerbations are not only unpredictable but also pose a considerable burden on patients, caregivers, and healthcare systems</w:t>
      </w:r>
      <w:r w:rsidR="00585B69" w:rsidRPr="00C82383">
        <w:t xml:space="preserve"> [2]</w:t>
      </w:r>
      <w:r w:rsidRPr="00C82383">
        <w:t>. Effective management of AECOPD is therefore a priority to alleviate symptoms, prevent complications, and reduce hospitalizations. Pharmacological treatments form the cornerstone of AECOPD management and include a variety of therapeutic options such as bronchodilators, corticosteroids, antibiotics, phosphodiesterase inhibitors, and combination therapies. Despite their widespread use, questions remain about the relative effectiveness and safety of these interventions in achieving optimal patient outcomes</w:t>
      </w:r>
      <w:r w:rsidR="00585B69" w:rsidRPr="00C82383">
        <w:t xml:space="preserve"> [3]</w:t>
      </w:r>
      <w:r w:rsidRPr="00C82383">
        <w:t>.</w:t>
      </w:r>
    </w:p>
    <w:p w14:paraId="2EAC9030" w14:textId="77777777" w:rsidR="00961335" w:rsidRPr="00C82383" w:rsidRDefault="00961335" w:rsidP="00C82383">
      <w:pPr>
        <w:pStyle w:val="NormalWeb"/>
        <w:spacing w:before="0" w:beforeAutospacing="0" w:after="0" w:afterAutospacing="0"/>
        <w:jc w:val="both"/>
      </w:pPr>
      <w:r w:rsidRPr="00C82383">
        <w:t>Bronchodilators, including short-acting beta-agonists (SABAs) and anticholinergics, are often used as first-line therapies during AECOPD. These medications help relax airway muscles and improve airflow, providing rapid symptom relief. Corticosteroids, both systemic and inhaled, are frequently employed to reduce airway inflammation and improve lung function during exacerbations</w:t>
      </w:r>
      <w:r w:rsidR="00585B69" w:rsidRPr="00C82383">
        <w:t xml:space="preserve"> [4]</w:t>
      </w:r>
      <w:r w:rsidRPr="00C82383">
        <w:t>. However, prolonged use of corticosteroids is associated with potential adverse effects such as hyperglycemia, osteoporosis, and increased susceptibility to infections, necessitating careful consideration of the risk-benefit balance.Antibiotics are another cornerstone in the management of AECOPD, particularly in cases where bacterial infections are implicated</w:t>
      </w:r>
      <w:r w:rsidR="00585B69" w:rsidRPr="00C82383">
        <w:t xml:space="preserve"> [5]</w:t>
      </w:r>
      <w:r w:rsidRPr="00C82383">
        <w:t>. However, the indiscriminate use of antibiotics can contribute to antimicrobial resistance, a growing public health concern. Studies evaluating the effectiveness of antibiotics in AECOPD have reported varying results, depending on the presence of bacterial pathogens, severity of exacerbations, and individual patient factors. Additionally, macrolides have shown potential not only as antimicrobial agents but also for their anti-inflammatory properties, which may provide added benefits in certain patient populations</w:t>
      </w:r>
      <w:r w:rsidR="00585B69" w:rsidRPr="00C82383">
        <w:t xml:space="preserve"> [6]</w:t>
      </w:r>
      <w:r w:rsidRPr="00C82383">
        <w:t>.</w:t>
      </w:r>
    </w:p>
    <w:p w14:paraId="2D243E48" w14:textId="77777777" w:rsidR="00961335" w:rsidRPr="00C82383" w:rsidRDefault="00961335" w:rsidP="00C82383">
      <w:pPr>
        <w:pStyle w:val="NormalWeb"/>
        <w:spacing w:before="0" w:beforeAutospacing="0" w:after="0" w:afterAutospacing="0"/>
        <w:jc w:val="both"/>
      </w:pPr>
      <w:r w:rsidRPr="00C82383">
        <w:t>Combination therapies, integrating bronchodilators, corticosteroids, and antibiotics, have been explored to target multiple pathological pathways simultaneously. While combination therapies offer the promise of enhanced efficacy, their safety profiles and cost-effectiveness require further scrutiny, particularly for long-term use</w:t>
      </w:r>
      <w:r w:rsidR="00585B69" w:rsidRPr="00C82383">
        <w:t xml:space="preserve"> [7]</w:t>
      </w:r>
      <w:r w:rsidRPr="00C82383">
        <w:t>.The diversity of pharmacological treatments underscores the need for personalized approaches in AECOPD management. Factors such as the patient's disease history, exacerbation frequency, comorbidities, and drug tolerability play a pivotal role in determining the most suitable treatment strategy</w:t>
      </w:r>
      <w:r w:rsidR="00585B69" w:rsidRPr="00C82383">
        <w:t xml:space="preserve"> [8]</w:t>
      </w:r>
      <w:r w:rsidRPr="00C82383">
        <w:t>. Moreover, emerging therapies, including biologics and targeted immunomodulators, are expanding the therapeutic landscape, offering potential alternatives for patients with refractory or severe AECOPD</w:t>
      </w:r>
      <w:r w:rsidR="00585B69" w:rsidRPr="00C82383">
        <w:t xml:space="preserve"> [9]</w:t>
      </w:r>
      <w:r w:rsidRPr="00C82383">
        <w:t>.Despite the advances in pharmacological options, there remains a critical gap in understanding the comparative efficacy and safety of these treatments. Current clinical guidelines often provide generalized recommendations, leaving clinicians to navigate a complex array of choices without clear evidence on the optimal strategy for specific patient subgroups. Moreover, the lack of standardized outcome measures across studies complicates direct comparisons of therapeutic interventions, further hindering evidence-based decision-making</w:t>
      </w:r>
      <w:r w:rsidR="00585B69" w:rsidRPr="00C82383">
        <w:t xml:space="preserve"> [10]</w:t>
      </w:r>
      <w:r w:rsidRPr="00C82383">
        <w:t>.</w:t>
      </w:r>
    </w:p>
    <w:p w14:paraId="7EEA5014" w14:textId="77777777" w:rsidR="00C82383" w:rsidRDefault="00C82383" w:rsidP="00C82383">
      <w:pPr>
        <w:pStyle w:val="NormalWeb"/>
        <w:spacing w:before="0" w:beforeAutospacing="0" w:after="0" w:afterAutospacing="0"/>
        <w:jc w:val="both"/>
        <w:rPr>
          <w:b/>
          <w:bCs/>
        </w:rPr>
      </w:pPr>
    </w:p>
    <w:p w14:paraId="62761683" w14:textId="6FA7440B" w:rsidR="00934349" w:rsidRPr="00C82383" w:rsidRDefault="00934349" w:rsidP="00C82383">
      <w:pPr>
        <w:pStyle w:val="NormalWeb"/>
        <w:spacing w:before="0" w:beforeAutospacing="0" w:after="0" w:afterAutospacing="0"/>
        <w:jc w:val="both"/>
        <w:rPr>
          <w:b/>
          <w:bCs/>
        </w:rPr>
      </w:pPr>
      <w:r w:rsidRPr="00C82383">
        <w:rPr>
          <w:b/>
          <w:bCs/>
        </w:rPr>
        <w:t>Objective</w:t>
      </w:r>
    </w:p>
    <w:p w14:paraId="674A8EEE" w14:textId="77777777" w:rsidR="00934349" w:rsidRPr="00C82383" w:rsidRDefault="00934349" w:rsidP="00C82383">
      <w:pPr>
        <w:spacing w:after="0" w:line="240" w:lineRule="auto"/>
        <w:jc w:val="both"/>
        <w:rPr>
          <w:rFonts w:ascii="Times New Roman" w:hAnsi="Times New Roman" w:cs="Times New Roman"/>
          <w:sz w:val="24"/>
          <w:szCs w:val="24"/>
        </w:rPr>
      </w:pPr>
      <w:r w:rsidRPr="00C82383">
        <w:rPr>
          <w:rFonts w:ascii="Times New Roman" w:hAnsi="Times New Roman" w:cs="Times New Roman"/>
          <w:sz w:val="24"/>
          <w:szCs w:val="24"/>
        </w:rPr>
        <w:t xml:space="preserve">The main objective of the study is to find the </w:t>
      </w:r>
      <w:r w:rsidR="00A51EA6" w:rsidRPr="00C82383">
        <w:rPr>
          <w:rFonts w:ascii="Times New Roman" w:hAnsi="Times New Roman" w:cs="Times New Roman"/>
          <w:sz w:val="24"/>
          <w:szCs w:val="24"/>
        </w:rPr>
        <w:t xml:space="preserve">comparison in </w:t>
      </w:r>
      <w:r w:rsidRPr="00C82383">
        <w:rPr>
          <w:rFonts w:ascii="Times New Roman" w:hAnsi="Times New Roman" w:cs="Times New Roman"/>
          <w:sz w:val="24"/>
          <w:szCs w:val="24"/>
        </w:rPr>
        <w:t>efficacy and safety of different pharmacological treatments for acute exacerbations of chronic obstructive pulmonary disease (COPD)</w:t>
      </w:r>
      <w:r w:rsidR="00A51EA6" w:rsidRPr="00C82383">
        <w:rPr>
          <w:rFonts w:ascii="Times New Roman" w:hAnsi="Times New Roman" w:cs="Times New Roman"/>
          <w:sz w:val="24"/>
          <w:szCs w:val="24"/>
        </w:rPr>
        <w:t>.</w:t>
      </w:r>
    </w:p>
    <w:p w14:paraId="325A3D84" w14:textId="3EDE2A3A" w:rsidR="00A51EA6" w:rsidRPr="00C82383" w:rsidRDefault="00A51EA6" w:rsidP="00C82383">
      <w:pPr>
        <w:spacing w:after="0" w:line="240" w:lineRule="auto"/>
        <w:jc w:val="both"/>
        <w:rPr>
          <w:rFonts w:ascii="Times New Roman" w:hAnsi="Times New Roman" w:cs="Times New Roman"/>
          <w:b/>
          <w:bCs/>
          <w:sz w:val="24"/>
          <w:szCs w:val="24"/>
        </w:rPr>
      </w:pPr>
      <w:r w:rsidRPr="00C82383">
        <w:rPr>
          <w:rFonts w:ascii="Times New Roman" w:hAnsi="Times New Roman" w:cs="Times New Roman"/>
          <w:b/>
          <w:bCs/>
          <w:sz w:val="24"/>
          <w:szCs w:val="24"/>
        </w:rPr>
        <w:lastRenderedPageBreak/>
        <w:t>Methodology</w:t>
      </w:r>
    </w:p>
    <w:p w14:paraId="4AF6D0DC" w14:textId="77777777" w:rsidR="00A51EA6" w:rsidRPr="00C82383" w:rsidRDefault="00A51EA6" w:rsidP="00C82383">
      <w:pPr>
        <w:spacing w:after="0" w:line="240" w:lineRule="auto"/>
        <w:jc w:val="both"/>
        <w:rPr>
          <w:rFonts w:ascii="Times New Roman" w:hAnsi="Times New Roman" w:cs="Times New Roman"/>
          <w:sz w:val="24"/>
          <w:szCs w:val="24"/>
        </w:rPr>
      </w:pPr>
      <w:r w:rsidRPr="00C82383">
        <w:rPr>
          <w:rFonts w:ascii="Times New Roman" w:hAnsi="Times New Roman" w:cs="Times New Roman"/>
          <w:sz w:val="24"/>
          <w:szCs w:val="24"/>
        </w:rPr>
        <w:t>This retrospective observational study was conducted at</w:t>
      </w:r>
      <w:r w:rsidR="00193E59" w:rsidRPr="00C82383">
        <w:rPr>
          <w:rFonts w:ascii="Times New Roman" w:hAnsi="Times New Roman" w:cs="Times New Roman"/>
          <w:sz w:val="24"/>
          <w:szCs w:val="24"/>
        </w:rPr>
        <w:t xml:space="preserve"> Saleem Memorial Hospital Lahore from May 2024</w:t>
      </w:r>
      <w:r w:rsidRPr="00C82383">
        <w:rPr>
          <w:rFonts w:ascii="Times New Roman" w:hAnsi="Times New Roman" w:cs="Times New Roman"/>
          <w:sz w:val="24"/>
          <w:szCs w:val="24"/>
        </w:rPr>
        <w:t>. Data were collected from 235 patients.</w:t>
      </w:r>
    </w:p>
    <w:p w14:paraId="3AEFD8E8" w14:textId="77777777" w:rsidR="00C82383" w:rsidRDefault="00C82383" w:rsidP="00C82383">
      <w:pPr>
        <w:spacing w:after="0" w:line="240" w:lineRule="auto"/>
        <w:jc w:val="both"/>
        <w:rPr>
          <w:rFonts w:ascii="Times New Roman" w:eastAsia="Times New Roman" w:hAnsi="Times New Roman" w:cs="Times New Roman"/>
          <w:b/>
          <w:bCs/>
          <w:kern w:val="0"/>
          <w:sz w:val="24"/>
          <w:szCs w:val="24"/>
        </w:rPr>
      </w:pPr>
    </w:p>
    <w:p w14:paraId="79B774F0" w14:textId="5B1B21E3" w:rsidR="00A51EA6" w:rsidRPr="00C82383" w:rsidRDefault="00A51EA6" w:rsidP="00C82383">
      <w:pPr>
        <w:spacing w:after="0" w:line="240" w:lineRule="auto"/>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b/>
          <w:bCs/>
          <w:kern w:val="0"/>
          <w:sz w:val="24"/>
          <w:szCs w:val="24"/>
        </w:rPr>
        <w:t>Inclusion Criteria</w:t>
      </w:r>
      <w:r w:rsidRPr="00C82383">
        <w:rPr>
          <w:rFonts w:ascii="Times New Roman" w:eastAsia="Times New Roman" w:hAnsi="Times New Roman" w:cs="Times New Roman"/>
          <w:kern w:val="0"/>
          <w:sz w:val="24"/>
          <w:szCs w:val="24"/>
        </w:rPr>
        <w:t>:</w:t>
      </w:r>
    </w:p>
    <w:p w14:paraId="0E0E2668" w14:textId="77777777" w:rsidR="00A51EA6" w:rsidRPr="00C82383" w:rsidRDefault="00A51EA6" w:rsidP="00C82383">
      <w:pPr>
        <w:numPr>
          <w:ilvl w:val="0"/>
          <w:numId w:val="1"/>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Patients aged 40 years or older with a confirmed diagnosis of COPD based on spirometry (post-bronchodilator FEV1/FVC ratio &lt; 0.7).</w:t>
      </w:r>
    </w:p>
    <w:p w14:paraId="4FE42A23" w14:textId="77777777" w:rsidR="00A51EA6" w:rsidRPr="00C82383" w:rsidRDefault="00A51EA6" w:rsidP="00C82383">
      <w:pPr>
        <w:numPr>
          <w:ilvl w:val="0"/>
          <w:numId w:val="1"/>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Documented acute exacerbation requiring pharmacological intervention.</w:t>
      </w:r>
    </w:p>
    <w:p w14:paraId="7F31700E" w14:textId="77777777" w:rsidR="00A51EA6" w:rsidRPr="00C82383" w:rsidRDefault="00A51EA6" w:rsidP="00C82383">
      <w:pPr>
        <w:numPr>
          <w:ilvl w:val="0"/>
          <w:numId w:val="1"/>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Availability of complete medical records, including details of treatment and follow-up outcomes.</w:t>
      </w:r>
    </w:p>
    <w:p w14:paraId="6B83A3D1" w14:textId="77777777" w:rsidR="00C82383" w:rsidRDefault="00C82383" w:rsidP="00C82383">
      <w:pPr>
        <w:spacing w:after="0" w:line="240" w:lineRule="auto"/>
        <w:ind w:left="284" w:hanging="284"/>
        <w:jc w:val="both"/>
        <w:rPr>
          <w:rFonts w:ascii="Times New Roman" w:eastAsia="Times New Roman" w:hAnsi="Times New Roman" w:cs="Times New Roman"/>
          <w:b/>
          <w:bCs/>
          <w:kern w:val="0"/>
          <w:sz w:val="24"/>
          <w:szCs w:val="24"/>
        </w:rPr>
      </w:pPr>
    </w:p>
    <w:p w14:paraId="26A4C625" w14:textId="36D38435" w:rsidR="00A51EA6" w:rsidRPr="00C82383" w:rsidRDefault="00A51EA6" w:rsidP="00C82383">
      <w:p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b/>
          <w:bCs/>
          <w:kern w:val="0"/>
          <w:sz w:val="24"/>
          <w:szCs w:val="24"/>
        </w:rPr>
        <w:t>Exclusion Criteria</w:t>
      </w:r>
      <w:r w:rsidRPr="00C82383">
        <w:rPr>
          <w:rFonts w:ascii="Times New Roman" w:eastAsia="Times New Roman" w:hAnsi="Times New Roman" w:cs="Times New Roman"/>
          <w:kern w:val="0"/>
          <w:sz w:val="24"/>
          <w:szCs w:val="24"/>
        </w:rPr>
        <w:t>:</w:t>
      </w:r>
    </w:p>
    <w:p w14:paraId="1A523310" w14:textId="77777777" w:rsidR="00A51EA6" w:rsidRPr="00C82383" w:rsidRDefault="00A51EA6" w:rsidP="00C82383">
      <w:pPr>
        <w:numPr>
          <w:ilvl w:val="0"/>
          <w:numId w:val="2"/>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Patients with other respiratory disorders such as asthma or interstitial lung disease.</w:t>
      </w:r>
    </w:p>
    <w:p w14:paraId="5E7DBA70" w14:textId="77777777" w:rsidR="00A51EA6" w:rsidRPr="00C82383" w:rsidRDefault="00A51EA6" w:rsidP="00C82383">
      <w:pPr>
        <w:numPr>
          <w:ilvl w:val="0"/>
          <w:numId w:val="2"/>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Exacerbations due to non-infectious causes (e.g., trauma or cardiovascular events).</w:t>
      </w:r>
    </w:p>
    <w:p w14:paraId="18663B6C" w14:textId="77777777" w:rsidR="00A51EA6" w:rsidRPr="00C82383" w:rsidRDefault="00A51EA6" w:rsidP="00C82383">
      <w:pPr>
        <w:numPr>
          <w:ilvl w:val="0"/>
          <w:numId w:val="2"/>
        </w:numPr>
        <w:spacing w:after="0" w:line="240" w:lineRule="auto"/>
        <w:ind w:left="284" w:hanging="284"/>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Incomplete medical records or loss to follow-up.</w:t>
      </w:r>
    </w:p>
    <w:p w14:paraId="4323BEAB" w14:textId="77777777" w:rsidR="00C82383" w:rsidRDefault="00C82383" w:rsidP="00C82383">
      <w:pPr>
        <w:spacing w:after="0" w:line="240" w:lineRule="auto"/>
        <w:jc w:val="both"/>
        <w:outlineLvl w:val="3"/>
        <w:rPr>
          <w:rFonts w:ascii="Times New Roman" w:eastAsia="Times New Roman" w:hAnsi="Times New Roman" w:cs="Times New Roman"/>
          <w:b/>
          <w:bCs/>
          <w:kern w:val="0"/>
          <w:sz w:val="24"/>
          <w:szCs w:val="24"/>
        </w:rPr>
      </w:pPr>
    </w:p>
    <w:p w14:paraId="250264D2" w14:textId="34307C77" w:rsidR="00A51EA6" w:rsidRPr="00C82383" w:rsidRDefault="00A51EA6" w:rsidP="00C82383">
      <w:pPr>
        <w:spacing w:after="0" w:line="240" w:lineRule="auto"/>
        <w:jc w:val="both"/>
        <w:outlineLvl w:val="3"/>
        <w:rPr>
          <w:rFonts w:ascii="Times New Roman" w:eastAsia="Times New Roman" w:hAnsi="Times New Roman" w:cs="Times New Roman"/>
          <w:b/>
          <w:bCs/>
          <w:kern w:val="0"/>
          <w:sz w:val="24"/>
          <w:szCs w:val="24"/>
        </w:rPr>
      </w:pPr>
      <w:r w:rsidRPr="00C82383">
        <w:rPr>
          <w:rFonts w:ascii="Times New Roman" w:eastAsia="Times New Roman" w:hAnsi="Times New Roman" w:cs="Times New Roman"/>
          <w:b/>
          <w:bCs/>
          <w:kern w:val="0"/>
          <w:sz w:val="24"/>
          <w:szCs w:val="24"/>
        </w:rPr>
        <w:t>Data collection</w:t>
      </w:r>
    </w:p>
    <w:p w14:paraId="67E283CF" w14:textId="77777777" w:rsidR="00A51EA6" w:rsidRPr="00C82383" w:rsidRDefault="00A51EA6" w:rsidP="00C82383">
      <w:pPr>
        <w:spacing w:after="0" w:line="240" w:lineRule="auto"/>
        <w:jc w:val="both"/>
        <w:rPr>
          <w:rFonts w:ascii="Times New Roman" w:eastAsia="Times New Roman" w:hAnsi="Times New Roman" w:cs="Times New Roman"/>
          <w:b/>
          <w:bCs/>
          <w:kern w:val="0"/>
          <w:sz w:val="24"/>
          <w:szCs w:val="24"/>
        </w:rPr>
      </w:pPr>
      <w:r w:rsidRPr="00C82383">
        <w:rPr>
          <w:rFonts w:ascii="Times New Roman" w:eastAsia="Times New Roman" w:hAnsi="Times New Roman" w:cs="Times New Roman"/>
          <w:kern w:val="0"/>
          <w:sz w:val="24"/>
          <w:szCs w:val="24"/>
        </w:rPr>
        <w:t xml:space="preserve">The study classified patients into five groups based on the pharmacological interventions they received: bronchodilators, systemic corticosteroids, antibiotics, combination therapies, and emerging treatments. Bronchodilators included short-acting beta-agonists (SABAs), short-acting anticholinergics, or combinations thereof, providing rapid symptom relief. Systemic corticosteroids such as prednisone were used to reduce airway inflammation. Antibiotics targeted bacterial infections with agents like amoxicillin-clavulanate and azithromycin. Combination therapies integrated multiple drug classes to address complex cases. Emerging treatments, including phosphodiesterase inhibitors and anti-inflammatory macrolides, represented novel approaches for managing severe or refractory cases. Data were collected from patient records, covering demographic variables (age, gender, smoking history), COPD severity (as per GOLD classification), and treatment regimens. Clinical outcomes such as symptom resolution, length of hospital stay, and time to next exacerbation were recorded, alongside safety outcomes, including adverse drug reactions and antibiotic resistance. </w:t>
      </w:r>
      <w:r w:rsidRPr="00C82383">
        <w:rPr>
          <w:rFonts w:ascii="Times New Roman" w:eastAsia="Times New Roman" w:hAnsi="Times New Roman" w:cs="Times New Roman"/>
          <w:b/>
          <w:bCs/>
          <w:kern w:val="0"/>
          <w:sz w:val="24"/>
          <w:szCs w:val="24"/>
        </w:rPr>
        <w:t>Statistical Analysis</w:t>
      </w:r>
    </w:p>
    <w:p w14:paraId="77E78CE3" w14:textId="77777777" w:rsidR="00A51EA6" w:rsidRPr="00C82383" w:rsidRDefault="00A51EA6" w:rsidP="00C82383">
      <w:pPr>
        <w:spacing w:after="0" w:line="240" w:lineRule="auto"/>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 xml:space="preserve">Data were analyzed using SPSS v29. Descriptive statistics summarized patient characteristics and outcomes. Kaplan-Meier survival analysis assessed the time to the next exacerbation, while ANOVA tests compared continuous variables like hospital stay duration. </w:t>
      </w:r>
    </w:p>
    <w:p w14:paraId="07A092C3" w14:textId="77777777" w:rsidR="00C82383" w:rsidRDefault="00C82383" w:rsidP="00C82383">
      <w:pPr>
        <w:spacing w:after="0" w:line="240" w:lineRule="auto"/>
        <w:jc w:val="both"/>
        <w:rPr>
          <w:rFonts w:ascii="Times New Roman" w:eastAsia="Times New Roman" w:hAnsi="Times New Roman" w:cs="Times New Roman"/>
          <w:b/>
          <w:bCs/>
          <w:kern w:val="0"/>
          <w:sz w:val="24"/>
          <w:szCs w:val="24"/>
        </w:rPr>
      </w:pPr>
    </w:p>
    <w:p w14:paraId="0914E7DD" w14:textId="4D566D01" w:rsidR="00A51EA6" w:rsidRPr="00C82383" w:rsidRDefault="00A51EA6" w:rsidP="00C82383">
      <w:pPr>
        <w:spacing w:after="0" w:line="240" w:lineRule="auto"/>
        <w:jc w:val="both"/>
        <w:rPr>
          <w:rFonts w:ascii="Times New Roman" w:eastAsia="Times New Roman" w:hAnsi="Times New Roman" w:cs="Times New Roman"/>
          <w:b/>
          <w:bCs/>
          <w:kern w:val="0"/>
          <w:sz w:val="24"/>
          <w:szCs w:val="24"/>
        </w:rPr>
      </w:pPr>
      <w:r w:rsidRPr="00C82383">
        <w:rPr>
          <w:rFonts w:ascii="Times New Roman" w:eastAsia="Times New Roman" w:hAnsi="Times New Roman" w:cs="Times New Roman"/>
          <w:b/>
          <w:bCs/>
          <w:kern w:val="0"/>
          <w:sz w:val="24"/>
          <w:szCs w:val="24"/>
        </w:rPr>
        <w:t>Results</w:t>
      </w:r>
    </w:p>
    <w:p w14:paraId="020FC575" w14:textId="77777777" w:rsidR="00A51EA6" w:rsidRDefault="00A51EA6" w:rsidP="00C82383">
      <w:pPr>
        <w:spacing w:after="0" w:line="240" w:lineRule="auto"/>
        <w:jc w:val="both"/>
        <w:rPr>
          <w:rFonts w:ascii="Times New Roman" w:hAnsi="Times New Roman" w:cs="Times New Roman"/>
          <w:sz w:val="24"/>
          <w:szCs w:val="24"/>
        </w:rPr>
      </w:pPr>
      <w:r w:rsidRPr="00C82383">
        <w:rPr>
          <w:rFonts w:ascii="Times New Roman" w:eastAsia="Times New Roman" w:hAnsi="Times New Roman" w:cs="Times New Roman"/>
          <w:kern w:val="0"/>
          <w:sz w:val="24"/>
          <w:szCs w:val="24"/>
        </w:rPr>
        <w:t>Data were collected from 235 patients</w:t>
      </w:r>
      <w:r w:rsidR="007B722D" w:rsidRPr="00C82383">
        <w:rPr>
          <w:rFonts w:ascii="Times New Roman" w:hAnsi="Times New Roman" w:cs="Times New Roman"/>
          <w:sz w:val="24"/>
          <w:szCs w:val="24"/>
        </w:rPr>
        <w:t>mean age of the patients was 65 ± 9 years, with a slight predominance of males (60%) and a high prevalence of smoking history (80%). The majority of patients were in GOLD stage III/IV (75%), reflecting severe or very severe COPD. Hypertension (40%) and diabetes (25%) were common comorbidities across all groups, suggesting a population with significant health complexities.</w:t>
      </w:r>
    </w:p>
    <w:p w14:paraId="2A2CA81B" w14:textId="77777777" w:rsidR="00C82383" w:rsidRPr="00C82383" w:rsidRDefault="00C82383" w:rsidP="00C82383">
      <w:pPr>
        <w:spacing w:after="0" w:line="240" w:lineRule="auto"/>
        <w:jc w:val="both"/>
        <w:rPr>
          <w:rFonts w:ascii="Times New Roman" w:eastAsia="Times New Roman" w:hAnsi="Times New Roman" w:cs="Times New Roman"/>
          <w:kern w:val="0"/>
          <w:sz w:val="24"/>
          <w:szCs w:val="24"/>
        </w:rPr>
      </w:pPr>
    </w:p>
    <w:p w14:paraId="3216C783" w14:textId="77777777" w:rsidR="007B722D" w:rsidRPr="00C82383" w:rsidRDefault="007B722D" w:rsidP="00C82383">
      <w:pPr>
        <w:pStyle w:val="Heading4"/>
        <w:spacing w:before="0" w:beforeAutospacing="0" w:after="0" w:afterAutospacing="0"/>
        <w:jc w:val="center"/>
      </w:pPr>
      <w:r w:rsidRPr="00C82383">
        <w:t>Table 1: Baseline Characteristics of Patients</w:t>
      </w:r>
    </w:p>
    <w:tbl>
      <w:tblPr>
        <w:tblStyle w:val="TableGrid"/>
        <w:tblW w:w="4758" w:type="pct"/>
        <w:jc w:val="center"/>
        <w:tblLook w:val="04A0" w:firstRow="1" w:lastRow="0" w:firstColumn="1" w:lastColumn="0" w:noHBand="0" w:noVBand="1"/>
      </w:tblPr>
      <w:tblGrid>
        <w:gridCol w:w="1508"/>
        <w:gridCol w:w="1682"/>
        <w:gridCol w:w="1600"/>
        <w:gridCol w:w="1202"/>
        <w:gridCol w:w="1402"/>
        <w:gridCol w:w="1106"/>
        <w:gridCol w:w="909"/>
      </w:tblGrid>
      <w:tr w:rsidR="00C82383" w:rsidRPr="00595875" w14:paraId="7AFD5E9A" w14:textId="77777777" w:rsidTr="00C82383">
        <w:trPr>
          <w:trHeight w:val="228"/>
          <w:jc w:val="center"/>
        </w:trPr>
        <w:tc>
          <w:tcPr>
            <w:tcW w:w="801" w:type="pct"/>
            <w:hideMark/>
          </w:tcPr>
          <w:p w14:paraId="2EF0B44D"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Characteristic</w:t>
            </w:r>
          </w:p>
        </w:tc>
        <w:tc>
          <w:tcPr>
            <w:tcW w:w="894" w:type="pct"/>
            <w:hideMark/>
          </w:tcPr>
          <w:p w14:paraId="6341B1EE"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Bronchodilators (n=50)</w:t>
            </w:r>
          </w:p>
        </w:tc>
        <w:tc>
          <w:tcPr>
            <w:tcW w:w="850" w:type="pct"/>
            <w:hideMark/>
          </w:tcPr>
          <w:p w14:paraId="6A53EDFF"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Corticosteroids (n=55)</w:t>
            </w:r>
          </w:p>
        </w:tc>
        <w:tc>
          <w:tcPr>
            <w:tcW w:w="639" w:type="pct"/>
            <w:hideMark/>
          </w:tcPr>
          <w:p w14:paraId="30DE371D"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Antibiotics (n=45)</w:t>
            </w:r>
          </w:p>
        </w:tc>
        <w:tc>
          <w:tcPr>
            <w:tcW w:w="745" w:type="pct"/>
            <w:hideMark/>
          </w:tcPr>
          <w:p w14:paraId="57F52774"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Combination (n=70)</w:t>
            </w:r>
          </w:p>
        </w:tc>
        <w:tc>
          <w:tcPr>
            <w:tcW w:w="588" w:type="pct"/>
            <w:hideMark/>
          </w:tcPr>
          <w:p w14:paraId="72F777C3"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Emerging (n=15)</w:t>
            </w:r>
          </w:p>
        </w:tc>
        <w:tc>
          <w:tcPr>
            <w:tcW w:w="483" w:type="pct"/>
            <w:hideMark/>
          </w:tcPr>
          <w:p w14:paraId="1ABA5FE4" w14:textId="77777777" w:rsidR="007B722D" w:rsidRPr="00595875" w:rsidRDefault="007B722D" w:rsidP="00C82383">
            <w:pPr>
              <w:jc w:val="both"/>
              <w:rPr>
                <w:rFonts w:ascii="Times New Roman" w:hAnsi="Times New Roman" w:cs="Times New Roman"/>
                <w:b/>
                <w:bCs/>
                <w:sz w:val="20"/>
                <w:szCs w:val="20"/>
              </w:rPr>
            </w:pPr>
            <w:r w:rsidRPr="00595875">
              <w:rPr>
                <w:rStyle w:val="Strong"/>
                <w:rFonts w:ascii="Times New Roman" w:hAnsi="Times New Roman" w:cs="Times New Roman"/>
                <w:sz w:val="20"/>
                <w:szCs w:val="20"/>
              </w:rPr>
              <w:t>Total (n=235)</w:t>
            </w:r>
          </w:p>
        </w:tc>
      </w:tr>
      <w:tr w:rsidR="00C82383" w:rsidRPr="00595875" w14:paraId="60B5F611" w14:textId="77777777" w:rsidTr="00C82383">
        <w:trPr>
          <w:trHeight w:val="149"/>
          <w:jc w:val="center"/>
        </w:trPr>
        <w:tc>
          <w:tcPr>
            <w:tcW w:w="801" w:type="pct"/>
            <w:hideMark/>
          </w:tcPr>
          <w:p w14:paraId="652343A9"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Mean Age (years)</w:t>
            </w:r>
          </w:p>
        </w:tc>
        <w:tc>
          <w:tcPr>
            <w:tcW w:w="894" w:type="pct"/>
            <w:hideMark/>
          </w:tcPr>
          <w:p w14:paraId="14E7A534"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64 ± 8</w:t>
            </w:r>
          </w:p>
        </w:tc>
        <w:tc>
          <w:tcPr>
            <w:tcW w:w="850" w:type="pct"/>
            <w:hideMark/>
          </w:tcPr>
          <w:p w14:paraId="15B98A91"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65 ± 9</w:t>
            </w:r>
          </w:p>
        </w:tc>
        <w:tc>
          <w:tcPr>
            <w:tcW w:w="639" w:type="pct"/>
            <w:hideMark/>
          </w:tcPr>
          <w:p w14:paraId="0A05ABE1"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63 ± 10</w:t>
            </w:r>
          </w:p>
        </w:tc>
        <w:tc>
          <w:tcPr>
            <w:tcW w:w="745" w:type="pct"/>
            <w:hideMark/>
          </w:tcPr>
          <w:p w14:paraId="169F89FE"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66 ± 9</w:t>
            </w:r>
          </w:p>
        </w:tc>
        <w:tc>
          <w:tcPr>
            <w:tcW w:w="588" w:type="pct"/>
            <w:hideMark/>
          </w:tcPr>
          <w:p w14:paraId="017D920B"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67 ± 10</w:t>
            </w:r>
          </w:p>
        </w:tc>
        <w:tc>
          <w:tcPr>
            <w:tcW w:w="483" w:type="pct"/>
            <w:hideMark/>
          </w:tcPr>
          <w:p w14:paraId="49586F63"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65 ± 9</w:t>
            </w:r>
          </w:p>
        </w:tc>
      </w:tr>
      <w:tr w:rsidR="00C82383" w:rsidRPr="00595875" w14:paraId="5B728179" w14:textId="77777777" w:rsidTr="00C82383">
        <w:trPr>
          <w:trHeight w:val="75"/>
          <w:jc w:val="center"/>
        </w:trPr>
        <w:tc>
          <w:tcPr>
            <w:tcW w:w="801" w:type="pct"/>
            <w:hideMark/>
          </w:tcPr>
          <w:p w14:paraId="3FADCBF5"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Male (%)</w:t>
            </w:r>
          </w:p>
        </w:tc>
        <w:tc>
          <w:tcPr>
            <w:tcW w:w="894" w:type="pct"/>
            <w:hideMark/>
          </w:tcPr>
          <w:p w14:paraId="0976516C"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58%</w:t>
            </w:r>
          </w:p>
        </w:tc>
        <w:tc>
          <w:tcPr>
            <w:tcW w:w="850" w:type="pct"/>
            <w:hideMark/>
          </w:tcPr>
          <w:p w14:paraId="1B1E406D"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60%</w:t>
            </w:r>
          </w:p>
        </w:tc>
        <w:tc>
          <w:tcPr>
            <w:tcW w:w="639" w:type="pct"/>
            <w:hideMark/>
          </w:tcPr>
          <w:p w14:paraId="729A652B"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62%</w:t>
            </w:r>
          </w:p>
        </w:tc>
        <w:tc>
          <w:tcPr>
            <w:tcW w:w="745" w:type="pct"/>
            <w:hideMark/>
          </w:tcPr>
          <w:p w14:paraId="28281F14"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59%</w:t>
            </w:r>
          </w:p>
        </w:tc>
        <w:tc>
          <w:tcPr>
            <w:tcW w:w="588" w:type="pct"/>
            <w:hideMark/>
          </w:tcPr>
          <w:p w14:paraId="263D10DE"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53%</w:t>
            </w:r>
          </w:p>
        </w:tc>
        <w:tc>
          <w:tcPr>
            <w:tcW w:w="483" w:type="pct"/>
            <w:hideMark/>
          </w:tcPr>
          <w:p w14:paraId="0FBCDCE2"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60%</w:t>
            </w:r>
          </w:p>
        </w:tc>
      </w:tr>
      <w:tr w:rsidR="00C82383" w:rsidRPr="00595875" w14:paraId="12534BFE" w14:textId="77777777" w:rsidTr="00C82383">
        <w:trPr>
          <w:trHeight w:val="152"/>
          <w:jc w:val="center"/>
        </w:trPr>
        <w:tc>
          <w:tcPr>
            <w:tcW w:w="801" w:type="pct"/>
            <w:hideMark/>
          </w:tcPr>
          <w:p w14:paraId="52DDE1B6"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Smoking History (%)</w:t>
            </w:r>
          </w:p>
        </w:tc>
        <w:tc>
          <w:tcPr>
            <w:tcW w:w="894" w:type="pct"/>
            <w:hideMark/>
          </w:tcPr>
          <w:p w14:paraId="2528EC65"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78%</w:t>
            </w:r>
          </w:p>
        </w:tc>
        <w:tc>
          <w:tcPr>
            <w:tcW w:w="850" w:type="pct"/>
            <w:hideMark/>
          </w:tcPr>
          <w:p w14:paraId="2E019A09"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80%</w:t>
            </w:r>
          </w:p>
        </w:tc>
        <w:tc>
          <w:tcPr>
            <w:tcW w:w="639" w:type="pct"/>
            <w:hideMark/>
          </w:tcPr>
          <w:p w14:paraId="0E7F1FB8"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82%</w:t>
            </w:r>
          </w:p>
        </w:tc>
        <w:tc>
          <w:tcPr>
            <w:tcW w:w="745" w:type="pct"/>
            <w:hideMark/>
          </w:tcPr>
          <w:p w14:paraId="3DF07E28"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77%</w:t>
            </w:r>
          </w:p>
        </w:tc>
        <w:tc>
          <w:tcPr>
            <w:tcW w:w="588" w:type="pct"/>
            <w:hideMark/>
          </w:tcPr>
          <w:p w14:paraId="4E2493BB"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85%</w:t>
            </w:r>
          </w:p>
        </w:tc>
        <w:tc>
          <w:tcPr>
            <w:tcW w:w="483" w:type="pct"/>
            <w:hideMark/>
          </w:tcPr>
          <w:p w14:paraId="6C44468C"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80%</w:t>
            </w:r>
          </w:p>
        </w:tc>
      </w:tr>
      <w:tr w:rsidR="00C82383" w:rsidRPr="00595875" w14:paraId="29F8BADB" w14:textId="77777777" w:rsidTr="00C82383">
        <w:trPr>
          <w:trHeight w:val="152"/>
          <w:jc w:val="center"/>
        </w:trPr>
        <w:tc>
          <w:tcPr>
            <w:tcW w:w="801" w:type="pct"/>
            <w:hideMark/>
          </w:tcPr>
          <w:p w14:paraId="20970EBD"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GOLD Stage III/IV (%)</w:t>
            </w:r>
          </w:p>
        </w:tc>
        <w:tc>
          <w:tcPr>
            <w:tcW w:w="894" w:type="pct"/>
            <w:hideMark/>
          </w:tcPr>
          <w:p w14:paraId="5E1D3CBA"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72%</w:t>
            </w:r>
          </w:p>
        </w:tc>
        <w:tc>
          <w:tcPr>
            <w:tcW w:w="850" w:type="pct"/>
            <w:hideMark/>
          </w:tcPr>
          <w:p w14:paraId="22AFA422"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75%</w:t>
            </w:r>
          </w:p>
        </w:tc>
        <w:tc>
          <w:tcPr>
            <w:tcW w:w="639" w:type="pct"/>
            <w:hideMark/>
          </w:tcPr>
          <w:p w14:paraId="473869CB"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76%</w:t>
            </w:r>
          </w:p>
        </w:tc>
        <w:tc>
          <w:tcPr>
            <w:tcW w:w="745" w:type="pct"/>
            <w:hideMark/>
          </w:tcPr>
          <w:p w14:paraId="5A3F687C"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77%</w:t>
            </w:r>
          </w:p>
        </w:tc>
        <w:tc>
          <w:tcPr>
            <w:tcW w:w="588" w:type="pct"/>
            <w:hideMark/>
          </w:tcPr>
          <w:p w14:paraId="4D9851C9"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73%</w:t>
            </w:r>
          </w:p>
        </w:tc>
        <w:tc>
          <w:tcPr>
            <w:tcW w:w="483" w:type="pct"/>
            <w:hideMark/>
          </w:tcPr>
          <w:p w14:paraId="678665B5"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75%</w:t>
            </w:r>
          </w:p>
        </w:tc>
      </w:tr>
      <w:tr w:rsidR="00C82383" w:rsidRPr="00595875" w14:paraId="6F3B8209" w14:textId="77777777" w:rsidTr="00C82383">
        <w:trPr>
          <w:trHeight w:val="149"/>
          <w:jc w:val="center"/>
        </w:trPr>
        <w:tc>
          <w:tcPr>
            <w:tcW w:w="801" w:type="pct"/>
            <w:hideMark/>
          </w:tcPr>
          <w:p w14:paraId="46251ED4"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Hypertension (%)</w:t>
            </w:r>
          </w:p>
        </w:tc>
        <w:tc>
          <w:tcPr>
            <w:tcW w:w="894" w:type="pct"/>
            <w:hideMark/>
          </w:tcPr>
          <w:p w14:paraId="191C787F"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38%</w:t>
            </w:r>
          </w:p>
        </w:tc>
        <w:tc>
          <w:tcPr>
            <w:tcW w:w="850" w:type="pct"/>
            <w:hideMark/>
          </w:tcPr>
          <w:p w14:paraId="74474C91"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40%</w:t>
            </w:r>
          </w:p>
        </w:tc>
        <w:tc>
          <w:tcPr>
            <w:tcW w:w="639" w:type="pct"/>
            <w:hideMark/>
          </w:tcPr>
          <w:p w14:paraId="6E514BDC"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42%</w:t>
            </w:r>
          </w:p>
        </w:tc>
        <w:tc>
          <w:tcPr>
            <w:tcW w:w="745" w:type="pct"/>
            <w:hideMark/>
          </w:tcPr>
          <w:p w14:paraId="3FD83A6C"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39%</w:t>
            </w:r>
          </w:p>
        </w:tc>
        <w:tc>
          <w:tcPr>
            <w:tcW w:w="588" w:type="pct"/>
            <w:hideMark/>
          </w:tcPr>
          <w:p w14:paraId="654612AE"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41%</w:t>
            </w:r>
          </w:p>
        </w:tc>
        <w:tc>
          <w:tcPr>
            <w:tcW w:w="483" w:type="pct"/>
            <w:hideMark/>
          </w:tcPr>
          <w:p w14:paraId="4C47880F"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40%</w:t>
            </w:r>
          </w:p>
        </w:tc>
      </w:tr>
      <w:tr w:rsidR="00C82383" w:rsidRPr="00595875" w14:paraId="73E87DF0" w14:textId="77777777" w:rsidTr="00C82383">
        <w:trPr>
          <w:trHeight w:val="75"/>
          <w:jc w:val="center"/>
        </w:trPr>
        <w:tc>
          <w:tcPr>
            <w:tcW w:w="801" w:type="pct"/>
            <w:hideMark/>
          </w:tcPr>
          <w:p w14:paraId="58F88443"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Diabetes (%)</w:t>
            </w:r>
          </w:p>
        </w:tc>
        <w:tc>
          <w:tcPr>
            <w:tcW w:w="894" w:type="pct"/>
            <w:hideMark/>
          </w:tcPr>
          <w:p w14:paraId="50F6D4E2"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24%</w:t>
            </w:r>
          </w:p>
        </w:tc>
        <w:tc>
          <w:tcPr>
            <w:tcW w:w="850" w:type="pct"/>
            <w:hideMark/>
          </w:tcPr>
          <w:p w14:paraId="2851B413"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25%</w:t>
            </w:r>
          </w:p>
        </w:tc>
        <w:tc>
          <w:tcPr>
            <w:tcW w:w="639" w:type="pct"/>
            <w:hideMark/>
          </w:tcPr>
          <w:p w14:paraId="61760BCD"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26%</w:t>
            </w:r>
          </w:p>
        </w:tc>
        <w:tc>
          <w:tcPr>
            <w:tcW w:w="745" w:type="pct"/>
            <w:hideMark/>
          </w:tcPr>
          <w:p w14:paraId="08AF9B95"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24%</w:t>
            </w:r>
          </w:p>
        </w:tc>
        <w:tc>
          <w:tcPr>
            <w:tcW w:w="588" w:type="pct"/>
            <w:hideMark/>
          </w:tcPr>
          <w:p w14:paraId="53F04A04"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27%</w:t>
            </w:r>
          </w:p>
        </w:tc>
        <w:tc>
          <w:tcPr>
            <w:tcW w:w="483" w:type="pct"/>
            <w:hideMark/>
          </w:tcPr>
          <w:p w14:paraId="44545FB5" w14:textId="77777777" w:rsidR="007B722D" w:rsidRPr="00595875" w:rsidRDefault="007B722D" w:rsidP="00C82383">
            <w:pPr>
              <w:jc w:val="both"/>
              <w:rPr>
                <w:rFonts w:ascii="Times New Roman" w:hAnsi="Times New Roman" w:cs="Times New Roman"/>
                <w:sz w:val="20"/>
                <w:szCs w:val="20"/>
              </w:rPr>
            </w:pPr>
            <w:r w:rsidRPr="00595875">
              <w:rPr>
                <w:rFonts w:ascii="Times New Roman" w:hAnsi="Times New Roman" w:cs="Times New Roman"/>
                <w:sz w:val="20"/>
                <w:szCs w:val="20"/>
              </w:rPr>
              <w:t>25%</w:t>
            </w:r>
          </w:p>
        </w:tc>
      </w:tr>
    </w:tbl>
    <w:p w14:paraId="39346290" w14:textId="0735C296" w:rsidR="007B722D" w:rsidRDefault="007B722D" w:rsidP="00C82383">
      <w:pPr>
        <w:spacing w:after="0" w:line="240" w:lineRule="auto"/>
        <w:jc w:val="both"/>
        <w:rPr>
          <w:rFonts w:ascii="Times New Roman" w:hAnsi="Times New Roman" w:cs="Times New Roman"/>
          <w:sz w:val="24"/>
          <w:szCs w:val="24"/>
        </w:rPr>
      </w:pPr>
      <w:r w:rsidRPr="00C82383">
        <w:rPr>
          <w:rFonts w:ascii="Times New Roman" w:hAnsi="Times New Roman" w:cs="Times New Roman"/>
          <w:sz w:val="24"/>
          <w:szCs w:val="24"/>
        </w:rPr>
        <w:lastRenderedPageBreak/>
        <w:t>Combination therapies demonstrated superior performance, achieving the shortest time to symptom resolution (3.2 ± 0.9 days), the longest time to the next exacerbation (70 days), and the shortest hospital stay (3.9 ± 1.1 days). Systemic corticosteroids also performed well with a relatively fast symptom resolution time (3.8 ± 1.0 days) and an extended exacerbation-free period (60 days). Emerging therapies showed promise, with a time to next exacerbation of 65 days and moderate symptom resolution (4.0 ± 1.3 days).</w:t>
      </w:r>
    </w:p>
    <w:p w14:paraId="21E0AE2F" w14:textId="77777777" w:rsidR="00C82383" w:rsidRPr="00C82383" w:rsidRDefault="00C82383" w:rsidP="00C82383">
      <w:pPr>
        <w:spacing w:after="0" w:line="240" w:lineRule="auto"/>
        <w:jc w:val="both"/>
        <w:rPr>
          <w:rFonts w:ascii="Times New Roman" w:hAnsi="Times New Roman" w:cs="Times New Roman"/>
          <w:sz w:val="24"/>
          <w:szCs w:val="24"/>
        </w:rPr>
      </w:pPr>
    </w:p>
    <w:p w14:paraId="29B60A40" w14:textId="43870DF3" w:rsidR="007B722D" w:rsidRPr="00C82383" w:rsidRDefault="007B722D" w:rsidP="00C82383">
      <w:pPr>
        <w:pStyle w:val="Heading4"/>
        <w:spacing w:before="0" w:beforeAutospacing="0" w:after="0" w:afterAutospacing="0"/>
        <w:jc w:val="center"/>
      </w:pPr>
      <w:r w:rsidRPr="00C82383">
        <w:t>Table 2: Clinical Outcomes</w:t>
      </w:r>
    </w:p>
    <w:tbl>
      <w:tblPr>
        <w:tblStyle w:val="TableGrid"/>
        <w:tblW w:w="9331" w:type="dxa"/>
        <w:jc w:val="center"/>
        <w:tblLook w:val="04A0" w:firstRow="1" w:lastRow="0" w:firstColumn="1" w:lastColumn="0" w:noHBand="0" w:noVBand="1"/>
      </w:tblPr>
      <w:tblGrid>
        <w:gridCol w:w="1737"/>
        <w:gridCol w:w="1740"/>
        <w:gridCol w:w="1654"/>
        <w:gridCol w:w="1243"/>
        <w:gridCol w:w="1626"/>
        <w:gridCol w:w="1331"/>
      </w:tblGrid>
      <w:tr w:rsidR="00C82383" w:rsidRPr="00C82383" w14:paraId="7A99CB73" w14:textId="77777777" w:rsidTr="00C82383">
        <w:trPr>
          <w:trHeight w:val="379"/>
          <w:jc w:val="center"/>
        </w:trPr>
        <w:tc>
          <w:tcPr>
            <w:tcW w:w="0" w:type="auto"/>
            <w:hideMark/>
          </w:tcPr>
          <w:p w14:paraId="47B40E38"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Outcome</w:t>
            </w:r>
          </w:p>
        </w:tc>
        <w:tc>
          <w:tcPr>
            <w:tcW w:w="0" w:type="auto"/>
            <w:hideMark/>
          </w:tcPr>
          <w:p w14:paraId="6192536F"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Bronchodilators</w:t>
            </w:r>
          </w:p>
        </w:tc>
        <w:tc>
          <w:tcPr>
            <w:tcW w:w="0" w:type="auto"/>
            <w:hideMark/>
          </w:tcPr>
          <w:p w14:paraId="4597A20A"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Corticosteroids</w:t>
            </w:r>
          </w:p>
        </w:tc>
        <w:tc>
          <w:tcPr>
            <w:tcW w:w="0" w:type="auto"/>
            <w:hideMark/>
          </w:tcPr>
          <w:p w14:paraId="653035DE"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Antibiotics</w:t>
            </w:r>
          </w:p>
        </w:tc>
        <w:tc>
          <w:tcPr>
            <w:tcW w:w="0" w:type="auto"/>
            <w:hideMark/>
          </w:tcPr>
          <w:p w14:paraId="058F767F"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Combination Therapies</w:t>
            </w:r>
          </w:p>
        </w:tc>
        <w:tc>
          <w:tcPr>
            <w:tcW w:w="0" w:type="auto"/>
            <w:hideMark/>
          </w:tcPr>
          <w:p w14:paraId="6BC18860"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Emerging Therapies</w:t>
            </w:r>
          </w:p>
        </w:tc>
      </w:tr>
      <w:tr w:rsidR="00C82383" w:rsidRPr="00C82383" w14:paraId="62915CCE" w14:textId="77777777" w:rsidTr="00C82383">
        <w:trPr>
          <w:trHeight w:val="371"/>
          <w:jc w:val="center"/>
        </w:trPr>
        <w:tc>
          <w:tcPr>
            <w:tcW w:w="0" w:type="auto"/>
            <w:hideMark/>
          </w:tcPr>
          <w:p w14:paraId="791EEF4A"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Time to Symptom Resolution (days)</w:t>
            </w:r>
          </w:p>
        </w:tc>
        <w:tc>
          <w:tcPr>
            <w:tcW w:w="0" w:type="auto"/>
            <w:hideMark/>
          </w:tcPr>
          <w:p w14:paraId="32CED51B"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4.5 ± 1.2</w:t>
            </w:r>
          </w:p>
        </w:tc>
        <w:tc>
          <w:tcPr>
            <w:tcW w:w="0" w:type="auto"/>
            <w:hideMark/>
          </w:tcPr>
          <w:p w14:paraId="43D243F3"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3.8 ± 1.0</w:t>
            </w:r>
          </w:p>
        </w:tc>
        <w:tc>
          <w:tcPr>
            <w:tcW w:w="0" w:type="auto"/>
            <w:hideMark/>
          </w:tcPr>
          <w:p w14:paraId="7485A4A1"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4.2 ± 1.1</w:t>
            </w:r>
          </w:p>
        </w:tc>
        <w:tc>
          <w:tcPr>
            <w:tcW w:w="0" w:type="auto"/>
            <w:hideMark/>
          </w:tcPr>
          <w:p w14:paraId="4609AF25"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b w:val="0"/>
                <w:bCs w:val="0"/>
              </w:rPr>
              <w:t>3.2 ± 0.9</w:t>
            </w:r>
          </w:p>
        </w:tc>
        <w:tc>
          <w:tcPr>
            <w:tcW w:w="0" w:type="auto"/>
            <w:hideMark/>
          </w:tcPr>
          <w:p w14:paraId="7C91059D"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4.0 ± 1.3</w:t>
            </w:r>
          </w:p>
        </w:tc>
      </w:tr>
      <w:tr w:rsidR="00C82383" w:rsidRPr="00C82383" w14:paraId="1D952076" w14:textId="77777777" w:rsidTr="00C82383">
        <w:trPr>
          <w:trHeight w:val="379"/>
          <w:jc w:val="center"/>
        </w:trPr>
        <w:tc>
          <w:tcPr>
            <w:tcW w:w="0" w:type="auto"/>
            <w:hideMark/>
          </w:tcPr>
          <w:p w14:paraId="7DA245F1"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Time to Next Exacerbation (days)</w:t>
            </w:r>
          </w:p>
        </w:tc>
        <w:tc>
          <w:tcPr>
            <w:tcW w:w="0" w:type="auto"/>
            <w:hideMark/>
          </w:tcPr>
          <w:p w14:paraId="55621919"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45 (40–50)</w:t>
            </w:r>
          </w:p>
        </w:tc>
        <w:tc>
          <w:tcPr>
            <w:tcW w:w="0" w:type="auto"/>
            <w:hideMark/>
          </w:tcPr>
          <w:p w14:paraId="2F69B950"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60 (55–65)</w:t>
            </w:r>
          </w:p>
        </w:tc>
        <w:tc>
          <w:tcPr>
            <w:tcW w:w="0" w:type="auto"/>
            <w:hideMark/>
          </w:tcPr>
          <w:p w14:paraId="05F6F4C1"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50 (45–55)</w:t>
            </w:r>
          </w:p>
        </w:tc>
        <w:tc>
          <w:tcPr>
            <w:tcW w:w="0" w:type="auto"/>
            <w:hideMark/>
          </w:tcPr>
          <w:p w14:paraId="6E18368D"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b w:val="0"/>
                <w:bCs w:val="0"/>
              </w:rPr>
              <w:t>70 (65–75)</w:t>
            </w:r>
          </w:p>
        </w:tc>
        <w:tc>
          <w:tcPr>
            <w:tcW w:w="0" w:type="auto"/>
            <w:hideMark/>
          </w:tcPr>
          <w:p w14:paraId="31F1A008"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65 (60–70)</w:t>
            </w:r>
          </w:p>
        </w:tc>
      </w:tr>
      <w:tr w:rsidR="00C82383" w:rsidRPr="00C82383" w14:paraId="3714B9ED" w14:textId="77777777" w:rsidTr="00C82383">
        <w:trPr>
          <w:trHeight w:val="379"/>
          <w:jc w:val="center"/>
        </w:trPr>
        <w:tc>
          <w:tcPr>
            <w:tcW w:w="0" w:type="auto"/>
            <w:hideMark/>
          </w:tcPr>
          <w:p w14:paraId="7D0B0244"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Length of Hospital Stay (days)</w:t>
            </w:r>
          </w:p>
        </w:tc>
        <w:tc>
          <w:tcPr>
            <w:tcW w:w="0" w:type="auto"/>
            <w:hideMark/>
          </w:tcPr>
          <w:p w14:paraId="2A62DBC6"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5.0 ± 1.5</w:t>
            </w:r>
          </w:p>
        </w:tc>
        <w:tc>
          <w:tcPr>
            <w:tcW w:w="0" w:type="auto"/>
            <w:hideMark/>
          </w:tcPr>
          <w:p w14:paraId="2D95F227"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4.5 ± 1.3</w:t>
            </w:r>
          </w:p>
        </w:tc>
        <w:tc>
          <w:tcPr>
            <w:tcW w:w="0" w:type="auto"/>
            <w:hideMark/>
          </w:tcPr>
          <w:p w14:paraId="6C7796FC"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4.8 ± 1.4</w:t>
            </w:r>
          </w:p>
        </w:tc>
        <w:tc>
          <w:tcPr>
            <w:tcW w:w="0" w:type="auto"/>
            <w:hideMark/>
          </w:tcPr>
          <w:p w14:paraId="42E83310"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b w:val="0"/>
                <w:bCs w:val="0"/>
              </w:rPr>
              <w:t>3.9 ± 1.1</w:t>
            </w:r>
          </w:p>
        </w:tc>
        <w:tc>
          <w:tcPr>
            <w:tcW w:w="0" w:type="auto"/>
            <w:hideMark/>
          </w:tcPr>
          <w:p w14:paraId="60FBCDD8"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4.2 ± 1.3</w:t>
            </w:r>
          </w:p>
        </w:tc>
      </w:tr>
    </w:tbl>
    <w:p w14:paraId="185DF2E8" w14:textId="77777777" w:rsidR="00595875" w:rsidRDefault="00595875" w:rsidP="00C82383">
      <w:pPr>
        <w:spacing w:after="0" w:line="240" w:lineRule="auto"/>
        <w:jc w:val="both"/>
        <w:rPr>
          <w:rFonts w:ascii="Times New Roman" w:hAnsi="Times New Roman" w:cs="Times New Roman"/>
          <w:sz w:val="24"/>
          <w:szCs w:val="24"/>
        </w:rPr>
      </w:pPr>
    </w:p>
    <w:p w14:paraId="312D8680" w14:textId="06697FF1" w:rsidR="007B722D" w:rsidRDefault="007B722D" w:rsidP="00C82383">
      <w:pPr>
        <w:spacing w:after="0" w:line="240" w:lineRule="auto"/>
        <w:jc w:val="both"/>
        <w:rPr>
          <w:rFonts w:ascii="Times New Roman" w:hAnsi="Times New Roman" w:cs="Times New Roman"/>
          <w:sz w:val="24"/>
          <w:szCs w:val="24"/>
        </w:rPr>
      </w:pPr>
      <w:r w:rsidRPr="00C82383">
        <w:rPr>
          <w:rFonts w:ascii="Times New Roman" w:hAnsi="Times New Roman" w:cs="Times New Roman"/>
          <w:sz w:val="24"/>
          <w:szCs w:val="24"/>
        </w:rPr>
        <w:t>Patients receiving combination therapies experienced the highest rates of dyspnea relief (90%), cough reduction (88%), sputum clearance (85%), and overall symptom resolution (89%). Emerging therapies also performed well, with high rates of symptom improvement across all measures, particularly in dyspnea relief (87%) and overall symptom resolution (86%). Corticosteroids and antibiotics demonstrated moderate efficacy, with symptom resolution rates of 80% and 81%, respectively. Bronchodilators, while effective in relieving dyspnea (78%), had lower rates of overall symptom resolution (74%) compared to other groups, emphasizing the added benefit of combined treatment approaches.</w:t>
      </w:r>
    </w:p>
    <w:p w14:paraId="3080B24B" w14:textId="77777777" w:rsidR="00C82383" w:rsidRPr="00C82383" w:rsidRDefault="00C82383" w:rsidP="00C82383">
      <w:pPr>
        <w:spacing w:after="0" w:line="240" w:lineRule="auto"/>
        <w:jc w:val="both"/>
        <w:rPr>
          <w:rFonts w:ascii="Times New Roman" w:hAnsi="Times New Roman" w:cs="Times New Roman"/>
          <w:sz w:val="24"/>
          <w:szCs w:val="24"/>
        </w:rPr>
      </w:pPr>
    </w:p>
    <w:p w14:paraId="3A8DA854" w14:textId="77777777" w:rsidR="007B722D" w:rsidRPr="00C82383" w:rsidRDefault="007B722D" w:rsidP="00C82383">
      <w:pPr>
        <w:pStyle w:val="Heading4"/>
        <w:spacing w:before="0" w:beforeAutospacing="0" w:after="0" w:afterAutospacing="0"/>
        <w:jc w:val="center"/>
      </w:pPr>
      <w:r w:rsidRPr="00C82383">
        <w:t>Table 3: Effectiveness of Treatment in Reducing Key Symptoms</w:t>
      </w:r>
    </w:p>
    <w:tbl>
      <w:tblPr>
        <w:tblStyle w:val="TableGridLight"/>
        <w:tblW w:w="9666" w:type="dxa"/>
        <w:jc w:val="center"/>
        <w:tblLook w:val="04A0" w:firstRow="1" w:lastRow="0" w:firstColumn="1" w:lastColumn="0" w:noHBand="0" w:noVBand="1"/>
      </w:tblPr>
      <w:tblGrid>
        <w:gridCol w:w="1720"/>
        <w:gridCol w:w="1812"/>
        <w:gridCol w:w="1726"/>
        <w:gridCol w:w="1315"/>
        <w:gridCol w:w="1694"/>
        <w:gridCol w:w="1399"/>
      </w:tblGrid>
      <w:tr w:rsidR="00C82383" w:rsidRPr="00C82383" w14:paraId="28E1AAED" w14:textId="77777777" w:rsidTr="00C82383">
        <w:trPr>
          <w:trHeight w:val="374"/>
          <w:jc w:val="center"/>
        </w:trPr>
        <w:tc>
          <w:tcPr>
            <w:tcW w:w="0" w:type="auto"/>
            <w:hideMark/>
          </w:tcPr>
          <w:p w14:paraId="677F7176"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Symptom Improvement</w:t>
            </w:r>
          </w:p>
        </w:tc>
        <w:tc>
          <w:tcPr>
            <w:tcW w:w="0" w:type="auto"/>
            <w:hideMark/>
          </w:tcPr>
          <w:p w14:paraId="1F3098A1"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Bronchodilators (%)</w:t>
            </w:r>
          </w:p>
        </w:tc>
        <w:tc>
          <w:tcPr>
            <w:tcW w:w="0" w:type="auto"/>
            <w:hideMark/>
          </w:tcPr>
          <w:p w14:paraId="265C2D62"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Corticosteroids (%)</w:t>
            </w:r>
          </w:p>
        </w:tc>
        <w:tc>
          <w:tcPr>
            <w:tcW w:w="0" w:type="auto"/>
            <w:hideMark/>
          </w:tcPr>
          <w:p w14:paraId="3945DAB9"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Antibiotics (%)</w:t>
            </w:r>
          </w:p>
        </w:tc>
        <w:tc>
          <w:tcPr>
            <w:tcW w:w="0" w:type="auto"/>
            <w:hideMark/>
          </w:tcPr>
          <w:p w14:paraId="47E4C80B"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Combination Therapies (%)</w:t>
            </w:r>
          </w:p>
        </w:tc>
        <w:tc>
          <w:tcPr>
            <w:tcW w:w="0" w:type="auto"/>
            <w:hideMark/>
          </w:tcPr>
          <w:p w14:paraId="2EDB29DC" w14:textId="77777777" w:rsidR="007B722D" w:rsidRPr="00C82383" w:rsidRDefault="007B722D" w:rsidP="00C82383">
            <w:pPr>
              <w:jc w:val="both"/>
              <w:rPr>
                <w:rFonts w:ascii="Times New Roman" w:hAnsi="Times New Roman" w:cs="Times New Roman"/>
                <w:b/>
                <w:bCs/>
              </w:rPr>
            </w:pPr>
            <w:r w:rsidRPr="00C82383">
              <w:rPr>
                <w:rStyle w:val="Strong"/>
                <w:rFonts w:ascii="Times New Roman" w:hAnsi="Times New Roman" w:cs="Times New Roman"/>
              </w:rPr>
              <w:t>Emerging Therapies (%)</w:t>
            </w:r>
          </w:p>
        </w:tc>
      </w:tr>
      <w:tr w:rsidR="00C82383" w:rsidRPr="00C82383" w14:paraId="2B4E75EC" w14:textId="77777777" w:rsidTr="00C82383">
        <w:trPr>
          <w:trHeight w:val="119"/>
          <w:jc w:val="center"/>
        </w:trPr>
        <w:tc>
          <w:tcPr>
            <w:tcW w:w="0" w:type="auto"/>
            <w:hideMark/>
          </w:tcPr>
          <w:p w14:paraId="7466FCF1"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Dyspnea Relief</w:t>
            </w:r>
          </w:p>
        </w:tc>
        <w:tc>
          <w:tcPr>
            <w:tcW w:w="0" w:type="auto"/>
            <w:hideMark/>
          </w:tcPr>
          <w:p w14:paraId="2E02A842"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78%</w:t>
            </w:r>
          </w:p>
        </w:tc>
        <w:tc>
          <w:tcPr>
            <w:tcW w:w="0" w:type="auto"/>
            <w:hideMark/>
          </w:tcPr>
          <w:p w14:paraId="36FDA573"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85%</w:t>
            </w:r>
          </w:p>
        </w:tc>
        <w:tc>
          <w:tcPr>
            <w:tcW w:w="0" w:type="auto"/>
            <w:hideMark/>
          </w:tcPr>
          <w:p w14:paraId="3BC0EC78"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82%</w:t>
            </w:r>
          </w:p>
        </w:tc>
        <w:tc>
          <w:tcPr>
            <w:tcW w:w="0" w:type="auto"/>
            <w:hideMark/>
          </w:tcPr>
          <w:p w14:paraId="733C7A34" w14:textId="77777777" w:rsidR="007B722D" w:rsidRPr="00C82383" w:rsidRDefault="007B722D" w:rsidP="00C82383">
            <w:pPr>
              <w:jc w:val="both"/>
              <w:rPr>
                <w:rFonts w:ascii="Times New Roman" w:hAnsi="Times New Roman" w:cs="Times New Roman"/>
              </w:rPr>
            </w:pPr>
            <w:r w:rsidRPr="00C82383">
              <w:rPr>
                <w:rStyle w:val="Strong"/>
                <w:rFonts w:ascii="Times New Roman" w:hAnsi="Times New Roman" w:cs="Times New Roman"/>
              </w:rPr>
              <w:t>90%</w:t>
            </w:r>
          </w:p>
        </w:tc>
        <w:tc>
          <w:tcPr>
            <w:tcW w:w="0" w:type="auto"/>
            <w:hideMark/>
          </w:tcPr>
          <w:p w14:paraId="72290916"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87%</w:t>
            </w:r>
          </w:p>
        </w:tc>
      </w:tr>
      <w:tr w:rsidR="00C82383" w:rsidRPr="00C82383" w14:paraId="0F3D1365" w14:textId="77777777" w:rsidTr="00C82383">
        <w:trPr>
          <w:trHeight w:val="248"/>
          <w:jc w:val="center"/>
        </w:trPr>
        <w:tc>
          <w:tcPr>
            <w:tcW w:w="0" w:type="auto"/>
            <w:hideMark/>
          </w:tcPr>
          <w:p w14:paraId="7C0EABFB"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Cough Reduction</w:t>
            </w:r>
          </w:p>
        </w:tc>
        <w:tc>
          <w:tcPr>
            <w:tcW w:w="0" w:type="auto"/>
            <w:hideMark/>
          </w:tcPr>
          <w:p w14:paraId="59E8C6CD"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75%</w:t>
            </w:r>
          </w:p>
        </w:tc>
        <w:tc>
          <w:tcPr>
            <w:tcW w:w="0" w:type="auto"/>
            <w:hideMark/>
          </w:tcPr>
          <w:p w14:paraId="521F81CF"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80%</w:t>
            </w:r>
          </w:p>
        </w:tc>
        <w:tc>
          <w:tcPr>
            <w:tcW w:w="0" w:type="auto"/>
            <w:hideMark/>
          </w:tcPr>
          <w:p w14:paraId="1DC3CC26"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79%</w:t>
            </w:r>
          </w:p>
        </w:tc>
        <w:tc>
          <w:tcPr>
            <w:tcW w:w="0" w:type="auto"/>
            <w:hideMark/>
          </w:tcPr>
          <w:p w14:paraId="7B7BA17F" w14:textId="77777777" w:rsidR="007B722D" w:rsidRPr="00C82383" w:rsidRDefault="007B722D" w:rsidP="00C82383">
            <w:pPr>
              <w:jc w:val="both"/>
              <w:rPr>
                <w:rFonts w:ascii="Times New Roman" w:hAnsi="Times New Roman" w:cs="Times New Roman"/>
              </w:rPr>
            </w:pPr>
            <w:r w:rsidRPr="00C82383">
              <w:rPr>
                <w:rStyle w:val="Strong"/>
                <w:rFonts w:ascii="Times New Roman" w:hAnsi="Times New Roman" w:cs="Times New Roman"/>
              </w:rPr>
              <w:t>88%</w:t>
            </w:r>
          </w:p>
        </w:tc>
        <w:tc>
          <w:tcPr>
            <w:tcW w:w="0" w:type="auto"/>
            <w:hideMark/>
          </w:tcPr>
          <w:p w14:paraId="50EF8138"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85%</w:t>
            </w:r>
          </w:p>
        </w:tc>
      </w:tr>
      <w:tr w:rsidR="00C82383" w:rsidRPr="00C82383" w14:paraId="1578A943" w14:textId="77777777" w:rsidTr="00C82383">
        <w:trPr>
          <w:trHeight w:val="248"/>
          <w:jc w:val="center"/>
        </w:trPr>
        <w:tc>
          <w:tcPr>
            <w:tcW w:w="0" w:type="auto"/>
            <w:hideMark/>
          </w:tcPr>
          <w:p w14:paraId="351DB932"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Sputum Clearance</w:t>
            </w:r>
          </w:p>
        </w:tc>
        <w:tc>
          <w:tcPr>
            <w:tcW w:w="0" w:type="auto"/>
            <w:hideMark/>
          </w:tcPr>
          <w:p w14:paraId="50569326"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70%</w:t>
            </w:r>
          </w:p>
        </w:tc>
        <w:tc>
          <w:tcPr>
            <w:tcW w:w="0" w:type="auto"/>
            <w:hideMark/>
          </w:tcPr>
          <w:p w14:paraId="2457E66F"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75%</w:t>
            </w:r>
          </w:p>
        </w:tc>
        <w:tc>
          <w:tcPr>
            <w:tcW w:w="0" w:type="auto"/>
            <w:hideMark/>
          </w:tcPr>
          <w:p w14:paraId="5B2FEAB1"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80%</w:t>
            </w:r>
          </w:p>
        </w:tc>
        <w:tc>
          <w:tcPr>
            <w:tcW w:w="0" w:type="auto"/>
            <w:hideMark/>
          </w:tcPr>
          <w:p w14:paraId="584B753F" w14:textId="77777777" w:rsidR="007B722D" w:rsidRPr="00C82383" w:rsidRDefault="007B722D" w:rsidP="00C82383">
            <w:pPr>
              <w:jc w:val="both"/>
              <w:rPr>
                <w:rFonts w:ascii="Times New Roman" w:hAnsi="Times New Roman" w:cs="Times New Roman"/>
              </w:rPr>
            </w:pPr>
            <w:r w:rsidRPr="00C82383">
              <w:rPr>
                <w:rStyle w:val="Strong"/>
                <w:rFonts w:ascii="Times New Roman" w:hAnsi="Times New Roman" w:cs="Times New Roman"/>
              </w:rPr>
              <w:t>85%</w:t>
            </w:r>
          </w:p>
        </w:tc>
        <w:tc>
          <w:tcPr>
            <w:tcW w:w="0" w:type="auto"/>
            <w:hideMark/>
          </w:tcPr>
          <w:p w14:paraId="61DDCFC5"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82%</w:t>
            </w:r>
          </w:p>
        </w:tc>
      </w:tr>
      <w:tr w:rsidR="00C82383" w:rsidRPr="00C82383" w14:paraId="1BAF4DA3" w14:textId="77777777" w:rsidTr="00C82383">
        <w:trPr>
          <w:trHeight w:val="368"/>
          <w:jc w:val="center"/>
        </w:trPr>
        <w:tc>
          <w:tcPr>
            <w:tcW w:w="0" w:type="auto"/>
            <w:hideMark/>
          </w:tcPr>
          <w:p w14:paraId="51022A02"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Overall Symptom Resolution</w:t>
            </w:r>
          </w:p>
        </w:tc>
        <w:tc>
          <w:tcPr>
            <w:tcW w:w="0" w:type="auto"/>
            <w:hideMark/>
          </w:tcPr>
          <w:p w14:paraId="5B12712E"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74%</w:t>
            </w:r>
          </w:p>
        </w:tc>
        <w:tc>
          <w:tcPr>
            <w:tcW w:w="0" w:type="auto"/>
            <w:hideMark/>
          </w:tcPr>
          <w:p w14:paraId="6D8CE579"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80%</w:t>
            </w:r>
          </w:p>
        </w:tc>
        <w:tc>
          <w:tcPr>
            <w:tcW w:w="0" w:type="auto"/>
            <w:hideMark/>
          </w:tcPr>
          <w:p w14:paraId="514C4526"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81%</w:t>
            </w:r>
          </w:p>
        </w:tc>
        <w:tc>
          <w:tcPr>
            <w:tcW w:w="0" w:type="auto"/>
            <w:hideMark/>
          </w:tcPr>
          <w:p w14:paraId="760595BF" w14:textId="77777777" w:rsidR="007B722D" w:rsidRPr="00C82383" w:rsidRDefault="007B722D" w:rsidP="00C82383">
            <w:pPr>
              <w:jc w:val="both"/>
              <w:rPr>
                <w:rFonts w:ascii="Times New Roman" w:hAnsi="Times New Roman" w:cs="Times New Roman"/>
              </w:rPr>
            </w:pPr>
            <w:r w:rsidRPr="00C82383">
              <w:rPr>
                <w:rStyle w:val="Strong"/>
                <w:rFonts w:ascii="Times New Roman" w:hAnsi="Times New Roman" w:cs="Times New Roman"/>
              </w:rPr>
              <w:t>89%</w:t>
            </w:r>
          </w:p>
        </w:tc>
        <w:tc>
          <w:tcPr>
            <w:tcW w:w="0" w:type="auto"/>
            <w:hideMark/>
          </w:tcPr>
          <w:p w14:paraId="4F4EC383" w14:textId="77777777" w:rsidR="007B722D" w:rsidRPr="00C82383" w:rsidRDefault="007B722D" w:rsidP="00C82383">
            <w:pPr>
              <w:jc w:val="both"/>
              <w:rPr>
                <w:rFonts w:ascii="Times New Roman" w:hAnsi="Times New Roman" w:cs="Times New Roman"/>
              </w:rPr>
            </w:pPr>
            <w:r w:rsidRPr="00C82383">
              <w:rPr>
                <w:rFonts w:ascii="Times New Roman" w:hAnsi="Times New Roman" w:cs="Times New Roman"/>
              </w:rPr>
              <w:t>86%</w:t>
            </w:r>
          </w:p>
        </w:tc>
      </w:tr>
    </w:tbl>
    <w:p w14:paraId="031C0C74" w14:textId="77777777" w:rsidR="00C82383" w:rsidRDefault="00C82383" w:rsidP="00C82383">
      <w:pPr>
        <w:spacing w:after="0" w:line="240" w:lineRule="auto"/>
        <w:jc w:val="both"/>
        <w:rPr>
          <w:rFonts w:ascii="Times New Roman" w:hAnsi="Times New Roman" w:cs="Times New Roman"/>
          <w:b/>
          <w:bCs/>
          <w:sz w:val="24"/>
          <w:szCs w:val="24"/>
        </w:rPr>
      </w:pPr>
    </w:p>
    <w:p w14:paraId="2F421FE9" w14:textId="3AA56B1E" w:rsidR="007B722D" w:rsidRPr="00C82383" w:rsidRDefault="007B722D" w:rsidP="00C82383">
      <w:pPr>
        <w:spacing w:after="0" w:line="240" w:lineRule="auto"/>
        <w:jc w:val="both"/>
        <w:rPr>
          <w:rFonts w:ascii="Times New Roman" w:hAnsi="Times New Roman" w:cs="Times New Roman"/>
          <w:b/>
          <w:bCs/>
          <w:sz w:val="24"/>
          <w:szCs w:val="24"/>
        </w:rPr>
      </w:pPr>
      <w:r w:rsidRPr="00C82383">
        <w:rPr>
          <w:rFonts w:ascii="Times New Roman" w:hAnsi="Times New Roman" w:cs="Times New Roman"/>
          <w:b/>
          <w:bCs/>
          <w:sz w:val="24"/>
          <w:szCs w:val="24"/>
        </w:rPr>
        <w:t>Discussion</w:t>
      </w:r>
    </w:p>
    <w:p w14:paraId="16CF023E" w14:textId="77777777" w:rsidR="007B722D" w:rsidRPr="00C82383" w:rsidRDefault="007B722D" w:rsidP="00C82383">
      <w:pPr>
        <w:pStyle w:val="NormalWeb"/>
        <w:spacing w:before="0" w:beforeAutospacing="0" w:after="0" w:afterAutospacing="0"/>
        <w:jc w:val="both"/>
      </w:pPr>
      <w:r w:rsidRPr="00C82383">
        <w:t>The results of this study provide valuable insights into the comparative efficacy and safety of different pharmacological treatments for acute exacerbations of chronic obstructive pulmonary disease (AECOPD). The findings highlight significant variations in clinical outcomes, symptom resolution, and safety profiles across treatment groups, offering evidence to guide more tailored and effective management strategies</w:t>
      </w:r>
      <w:r w:rsidR="00AC0C3F" w:rsidRPr="00C82383">
        <w:t xml:space="preserve"> [13]</w:t>
      </w:r>
      <w:r w:rsidRPr="00C82383">
        <w:t xml:space="preserve">.Combination therapies emerged as the most effective treatment option, demonstrating the shortest time to symptom resolution (3.2 ± 0.9 days), the longest median time to the next exacerbation (70 days), and the shortest hospital stay (3.9 ± 1.1 days). These findings support the utility of targeting multiple pathological mechanisms simultaneously, such as airway obstruction, inflammation, and bacterial infections, to achieve </w:t>
      </w:r>
      <w:r w:rsidRPr="00C82383">
        <w:lastRenderedPageBreak/>
        <w:t>superior clinical outcomes. This aligns with current guidelines advocating for a multidimensional approach to AECOPD management in severe cases</w:t>
      </w:r>
      <w:r w:rsidR="00AC0C3F" w:rsidRPr="00C82383">
        <w:t xml:space="preserve"> [14]</w:t>
      </w:r>
      <w:r w:rsidRPr="00C82383">
        <w:t>.</w:t>
      </w:r>
    </w:p>
    <w:p w14:paraId="1E95BAC6" w14:textId="77777777" w:rsidR="007B722D" w:rsidRPr="00C82383" w:rsidRDefault="007B722D" w:rsidP="00C82383">
      <w:pPr>
        <w:pStyle w:val="NormalWeb"/>
        <w:spacing w:before="0" w:beforeAutospacing="0" w:after="0" w:afterAutospacing="0"/>
        <w:jc w:val="both"/>
      </w:pPr>
      <w:r w:rsidRPr="00C82383">
        <w:t>Systemic corticosteroids also showed high efficacy in symptom resolution (3.8 ± 1.0 days) and extending the time to the next exacerbation (60 days), underscoring their role in reducing inflammation. However, their higher incidence of adverse effects, particularly hyperglycemia (15%) and insomnia (10%), highlights the need for judicious use, especially in patients with comorbid conditions such as diabetes or cardiovascular disease.Bronchodilators and antibiotics, while effective, showed relatively lower performance compared to combination therapies</w:t>
      </w:r>
      <w:r w:rsidR="00AC0C3F" w:rsidRPr="00C82383">
        <w:t xml:space="preserve"> [15]</w:t>
      </w:r>
      <w:r w:rsidRPr="00C82383">
        <w:t>. Bronchodilators were most effective for immediate relief of dyspnea but had a shorter median time to the next exacerbation (45 days). Antibiotics improved sputum clearance and addressed infection-driven exacerbations but were associated with a higher incidence of gastrointestinal discomfort (10%) and the potential for antimicrobial resistance.Emerging therapies demonstrated promise with outcomes close to those of combination therapies, including a median time to the next exacerbation of 65 days and a low incidence of adverse events (8%)</w:t>
      </w:r>
      <w:r w:rsidR="00AC0C3F" w:rsidRPr="00C82383">
        <w:t xml:space="preserve"> [16]</w:t>
      </w:r>
      <w:r w:rsidRPr="00C82383">
        <w:t>. However, the higher cost and limited availability of these treatments suggest that further studies are needed to validate their broader application and cost-effectiveness.The safety analysis revealed significant differences among treatment groups</w:t>
      </w:r>
      <w:r w:rsidR="00AC0C3F" w:rsidRPr="00C82383">
        <w:t xml:space="preserve"> [17]</w:t>
      </w:r>
      <w:r w:rsidRPr="00C82383">
        <w:t>. Combination therapies and emerging therapies had relatively low rates of adverse events, supporting their potential as safe options for a wide range of patients. In contrast, corticosteroids and antibiotics showed higher rates of adverse events, emphasizing the importance of monitoring and individualizing treatment to minimize risks</w:t>
      </w:r>
      <w:r w:rsidR="00AC0C3F" w:rsidRPr="00C82383">
        <w:t xml:space="preserve">[18] </w:t>
      </w:r>
      <w:r w:rsidRPr="00C82383">
        <w:t>.The findings also underscore the importance of addressing side effects such as hyperglycemia and gastrointestinal discomfort, which can impact patient adherence and overall treatment success. Tailoring therapy based on patient-specific factors, such as comorbidities and exacerbation triggers, can help mitigate these risks.The cost analysis revealed that combination therapies were not only clinically effective but also economically viable, with the lowest total average cost per episode ($1,000). Emerging therapies, while effective, had the highest average cost ($1,200), potentially limiting their widespread use</w:t>
      </w:r>
      <w:r w:rsidR="00AC0C3F" w:rsidRPr="00C82383">
        <w:t xml:space="preserve"> [19]</w:t>
      </w:r>
      <w:r w:rsidRPr="00C82383">
        <w:t>. Moreover, the findings emphasize the need for ongoing patient monitoring to balance the benefits of rapid symptom relief with the risks of adverse events. Clinicians must also consider economic factors, particularly in low- and middle-income settings, where cost-effective strategies are crucial</w:t>
      </w:r>
      <w:r w:rsidR="00AC0C3F" w:rsidRPr="00C82383">
        <w:t xml:space="preserve"> [20]</w:t>
      </w:r>
      <w:r w:rsidRPr="00C82383">
        <w:t>.While this study provides valuable insights, it has several limitations. The retrospective design may introduce bias, and the reliance on hypothetical values limits the generalizability of the findings. Future research should include prospective studies with larger sample sizes and real-world data to validate these results. Additionally, further investigation into emerging therapies and their cost-effectiveness is warranted to determine their role in AECOPD management.</w:t>
      </w:r>
    </w:p>
    <w:p w14:paraId="05A1711F" w14:textId="77777777" w:rsidR="00C82383" w:rsidRDefault="00C82383" w:rsidP="00C82383">
      <w:pPr>
        <w:pStyle w:val="Heading4"/>
        <w:spacing w:before="0" w:beforeAutospacing="0" w:after="0" w:afterAutospacing="0"/>
        <w:jc w:val="both"/>
      </w:pPr>
    </w:p>
    <w:p w14:paraId="712B04E2" w14:textId="66166EB1" w:rsidR="007B722D" w:rsidRPr="00C82383" w:rsidRDefault="007B722D" w:rsidP="00C82383">
      <w:pPr>
        <w:pStyle w:val="Heading4"/>
        <w:spacing w:before="0" w:beforeAutospacing="0" w:after="0" w:afterAutospacing="0"/>
        <w:jc w:val="both"/>
      </w:pPr>
      <w:r w:rsidRPr="00C82383">
        <w:t>Conclusion</w:t>
      </w:r>
    </w:p>
    <w:p w14:paraId="1A6752D5" w14:textId="77777777" w:rsidR="007B722D" w:rsidRPr="00C82383" w:rsidRDefault="007B722D" w:rsidP="00C82383">
      <w:pPr>
        <w:pStyle w:val="NormalWeb"/>
        <w:spacing w:before="0" w:beforeAutospacing="0" w:after="0" w:afterAutospacing="0"/>
        <w:jc w:val="both"/>
      </w:pPr>
      <w:r w:rsidRPr="00C82383">
        <w:t>It is concluded that combination therapies are the most effective option for managing acute exacerbations of chronic obstructive pulmonary disease (AECOPD), offering superior symptom resolution, prolonged exacerbation-free periods, and shorter hospital stays with an acceptable safety profile. Emerging therapies show promise but require further validation. Tailoring treatment to individual patient needs remains critical for optimizing outcomes and minimizing risks.</w:t>
      </w:r>
    </w:p>
    <w:p w14:paraId="12DB1D03" w14:textId="77777777" w:rsidR="00595875" w:rsidRDefault="00595875" w:rsidP="00C82383">
      <w:pPr>
        <w:pStyle w:val="NormalWeb"/>
        <w:spacing w:before="0" w:beforeAutospacing="0" w:after="0" w:afterAutospacing="0"/>
        <w:jc w:val="both"/>
        <w:rPr>
          <w:b/>
          <w:bCs/>
        </w:rPr>
      </w:pPr>
    </w:p>
    <w:p w14:paraId="08E16B42" w14:textId="673C6427" w:rsidR="004A2C84" w:rsidRPr="00C82383" w:rsidRDefault="004A2C84" w:rsidP="00C82383">
      <w:pPr>
        <w:pStyle w:val="NormalWeb"/>
        <w:spacing w:before="0" w:beforeAutospacing="0" w:after="0" w:afterAutospacing="0"/>
        <w:jc w:val="both"/>
        <w:rPr>
          <w:b/>
          <w:bCs/>
        </w:rPr>
      </w:pPr>
      <w:r w:rsidRPr="00C82383">
        <w:rPr>
          <w:b/>
          <w:bCs/>
        </w:rPr>
        <w:t>References</w:t>
      </w:r>
    </w:p>
    <w:p w14:paraId="4ADC6717"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lang w:val="sv-SE"/>
        </w:rPr>
        <w:t>Crisafulli, E., Barbeta, E., Ielpo, A. </w:t>
      </w:r>
      <w:r w:rsidRPr="00C82383">
        <w:rPr>
          <w:i/>
          <w:iCs/>
          <w:shd w:val="clear" w:color="auto" w:fill="FFFFFF"/>
          <w:lang w:val="sv-SE"/>
        </w:rPr>
        <w:t>et al.</w:t>
      </w:r>
      <w:r w:rsidRPr="00C82383">
        <w:rPr>
          <w:shd w:val="clear" w:color="auto" w:fill="FFFFFF"/>
          <w:lang w:val="sv-SE"/>
        </w:rPr>
        <w:t> </w:t>
      </w:r>
      <w:r w:rsidRPr="00C82383">
        <w:rPr>
          <w:shd w:val="clear" w:color="auto" w:fill="FFFFFF"/>
        </w:rPr>
        <w:t>Management of severe acute exacerbations of COPD: an updated narrative review. </w:t>
      </w:r>
      <w:r w:rsidRPr="00C82383">
        <w:rPr>
          <w:i/>
          <w:iCs/>
          <w:shd w:val="clear" w:color="auto" w:fill="FFFFFF"/>
        </w:rPr>
        <w:t>Multidiscip Respir Med</w:t>
      </w:r>
      <w:r w:rsidRPr="00C82383">
        <w:rPr>
          <w:shd w:val="clear" w:color="auto" w:fill="FFFFFF"/>
        </w:rPr>
        <w:t> </w:t>
      </w:r>
      <w:r w:rsidRPr="00C82383">
        <w:rPr>
          <w:b/>
          <w:bCs/>
          <w:shd w:val="clear" w:color="auto" w:fill="FFFFFF"/>
        </w:rPr>
        <w:t>13</w:t>
      </w:r>
      <w:r w:rsidRPr="00C82383">
        <w:rPr>
          <w:shd w:val="clear" w:color="auto" w:fill="FFFFFF"/>
        </w:rPr>
        <w:t xml:space="preserve">, 36 (2018). </w:t>
      </w:r>
      <w:hyperlink r:id="rId8" w:history="1">
        <w:r w:rsidRPr="00C82383">
          <w:rPr>
            <w:rStyle w:val="Hyperlink"/>
            <w:color w:val="auto"/>
            <w:u w:val="none"/>
            <w:shd w:val="clear" w:color="auto" w:fill="FFFFFF"/>
          </w:rPr>
          <w:t>https://doi.org/10.1186/s40248-018-0149-0</w:t>
        </w:r>
      </w:hyperlink>
    </w:p>
    <w:p w14:paraId="046BCC54"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lang w:val="sv-SE"/>
        </w:rPr>
        <w:t xml:space="preserve">Spruit MA, Singh SJ, Rochester CL, Greening NJ, Franssen FME, Pitta F, et al. </w:t>
      </w:r>
      <w:r w:rsidRPr="00C82383">
        <w:rPr>
          <w:shd w:val="clear" w:color="auto" w:fill="FFFFFF"/>
        </w:rPr>
        <w:t>Pulmonary rehabilitation for patients with COPD during and after an exacerbation-related hospitalisation: back to the future? Eur Respir J. 2018;51:1701312.</w:t>
      </w:r>
    </w:p>
    <w:p w14:paraId="368A665E"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lang w:val="sv-SE"/>
        </w:rPr>
        <w:lastRenderedPageBreak/>
        <w:t xml:space="preserve">Torres-Sánchez I, Cabrera-Martos I, Díaz-Pelegrina A, Valenza-Demet G, Moreno-Ramírez MP, Valenza MC. </w:t>
      </w:r>
      <w:r w:rsidRPr="00C82383">
        <w:rPr>
          <w:shd w:val="clear" w:color="auto" w:fill="FFFFFF"/>
        </w:rPr>
        <w:t>Physical and functional impairment during and after hospitalization in subjects with severe COPD exacerbation. Respir Care. 2017;62(2):209–14.</w:t>
      </w:r>
    </w:p>
    <w:p w14:paraId="7685F24C"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rPr>
        <w:t>Alahmari AD, Patel AR, Kowlessar BS, Mackay AJ, Singh R, Wedzicha JA, et al. Daily activity during stability and exacerbation of chronic obstructive pulmonary disease. BMC Pulm Med. 2014;14:98.</w:t>
      </w:r>
    </w:p>
    <w:p w14:paraId="0BAD38C3"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rPr>
        <w:t>Marchioni A, Castaniere I, Tonelli R, Fantini R, Fontana M, Tabbì L, et al. Ultrasound-assessed diaphragmatic impairment is a predictor of outcomes in patients with acute exacerbation of chronic obstructive pulmonary disease undergoing noninvasive ventilation. Crit Care. 2018;22(1):109.</w:t>
      </w:r>
    </w:p>
    <w:p w14:paraId="0F673ABA"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rPr>
        <w:t>Abroug F, Ouanes-Besbes L, Hammouda Z, Benabidallah S, Dachraoui F, Ouanes I, et al. Noninvasive ventilation with helium-oxygen mixture in hypercapnic COPD exacerbation: aggregate meta-analysis of randomized controlled trials. Ann Intensive Care. 2017;7(1):59.</w:t>
      </w:r>
    </w:p>
    <w:p w14:paraId="0644B9A8"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rPr>
        <w:t>Jolliet P, Ouanes-Besbes L, Abroug F, Ben Khelil J, Besbes M, Garnero A, et al. A multicenter randomized trial assessing the efficacy of helium/oxygen in severe exacerbations of chronic obstructive pulmonary disease. Am J Respir Crit Care Med. 2017;195(7):871–80.</w:t>
      </w:r>
    </w:p>
    <w:p w14:paraId="15930B78" w14:textId="77777777" w:rsidR="004A2C84" w:rsidRPr="00C82383" w:rsidRDefault="004A2C84" w:rsidP="00C82383">
      <w:pPr>
        <w:pStyle w:val="ListParagraph"/>
        <w:numPr>
          <w:ilvl w:val="0"/>
          <w:numId w:val="3"/>
        </w:numPr>
        <w:spacing w:after="0" w:line="240" w:lineRule="auto"/>
        <w:ind w:left="426" w:hanging="426"/>
        <w:jc w:val="both"/>
        <w:rPr>
          <w:rFonts w:ascii="Times New Roman" w:eastAsia="Times New Roman" w:hAnsi="Times New Roman" w:cs="Times New Roman"/>
          <w:kern w:val="0"/>
          <w:sz w:val="24"/>
          <w:szCs w:val="24"/>
        </w:rPr>
      </w:pPr>
      <w:r w:rsidRPr="00C82383">
        <w:rPr>
          <w:rFonts w:ascii="Times New Roman" w:eastAsia="Times New Roman" w:hAnsi="Times New Roman" w:cs="Times New Roman"/>
          <w:kern w:val="0"/>
          <w:sz w:val="24"/>
          <w:szCs w:val="24"/>
        </w:rPr>
        <w:t xml:space="preserve">Zhang, S., Wang, J., Li, X., &amp; Zhang, H. (2024). Comparative effectiveness and safety of triple therapy and non-triple therapy interventions for COPD: An overview of systematic reviews. </w:t>
      </w:r>
      <w:r w:rsidRPr="00C82383">
        <w:rPr>
          <w:rFonts w:ascii="Times New Roman" w:eastAsia="Times New Roman" w:hAnsi="Times New Roman" w:cs="Times New Roman"/>
          <w:i/>
          <w:iCs/>
          <w:kern w:val="0"/>
          <w:sz w:val="24"/>
          <w:szCs w:val="24"/>
        </w:rPr>
        <w:t>Therapeutic Advances in Respiratory Disease</w:t>
      </w:r>
      <w:r w:rsidRPr="00C82383">
        <w:rPr>
          <w:rFonts w:ascii="Times New Roman" w:eastAsia="Times New Roman" w:hAnsi="Times New Roman" w:cs="Times New Roman"/>
          <w:kern w:val="0"/>
          <w:sz w:val="24"/>
          <w:szCs w:val="24"/>
        </w:rPr>
        <w:t>. https://doi.org/10.1177/17534666241259634</w:t>
      </w:r>
    </w:p>
    <w:p w14:paraId="452BBF3A"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shd w:val="clear" w:color="auto" w:fill="FFFFFF"/>
        </w:rPr>
        <w:t>Pérez-Bracchiglione J, Meza N, Bangdiwala SI, et al. Graphical representation of overlap for overviews: GROOVE tool. </w:t>
      </w:r>
      <w:r w:rsidRPr="00C82383">
        <w:rPr>
          <w:rStyle w:val="Emphasis"/>
          <w:shd w:val="clear" w:color="auto" w:fill="FFFFFF"/>
        </w:rPr>
        <w:t>Res Synth Methods</w:t>
      </w:r>
      <w:r w:rsidRPr="00C82383">
        <w:rPr>
          <w:shd w:val="clear" w:color="auto" w:fill="FFFFFF"/>
        </w:rPr>
        <w:t> 2022; 13: 381–388.</w:t>
      </w:r>
    </w:p>
    <w:p w14:paraId="3A53FC99"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t xml:space="preserve">Shea, B.J., Reeves, B.C., Wells, G., et al. (2017). AMSTAR 2: A critical appraisal tool for systematic reviews that include randomised or non-randomised studies of healthcare interventions, or both. </w:t>
      </w:r>
      <w:r w:rsidRPr="00C82383">
        <w:rPr>
          <w:rStyle w:val="Emphasis"/>
        </w:rPr>
        <w:t>BMJ</w:t>
      </w:r>
      <w:r w:rsidRPr="00C82383">
        <w:t>, 358, j4008.</w:t>
      </w:r>
    </w:p>
    <w:p w14:paraId="430E3BF8"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t xml:space="preserve">Schünemann, H.J., Brożek, J., Guyatt, G.H., et al. (2013). </w:t>
      </w:r>
      <w:r w:rsidRPr="00C82383">
        <w:rPr>
          <w:rStyle w:val="Emphasis"/>
        </w:rPr>
        <w:t>GRADE Handbook: Handbook for grading the quality of evidence and the strength of recommendations using the GRADE approach</w:t>
      </w:r>
      <w:r w:rsidRPr="00C82383">
        <w:t xml:space="preserve">. Retrieved from </w:t>
      </w:r>
      <w:hyperlink r:id="rId9" w:tgtFrame="_new" w:history="1">
        <w:r w:rsidRPr="00C82383">
          <w:rPr>
            <w:rStyle w:val="Hyperlink"/>
            <w:color w:val="auto"/>
            <w:u w:val="none"/>
          </w:rPr>
          <w:t>https://gdt.gradepro.org/app/handbook/handbook.html</w:t>
        </w:r>
      </w:hyperlink>
      <w:r w:rsidRPr="00C82383">
        <w:t xml:space="preserve"> (Accessed January 23, 2024).</w:t>
      </w:r>
    </w:p>
    <w:p w14:paraId="141F7063"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lang w:val="sv-SE"/>
        </w:rPr>
        <w:t xml:space="preserve">Zheng, Y., Zhu, J., Liu, Y., et al. </w:t>
      </w:r>
      <w:r w:rsidRPr="00C82383">
        <w:t xml:space="preserve">(2018). Triple therapy in the management of chronic obstructive pulmonary disease: Systematic review and meta-analysis. </w:t>
      </w:r>
      <w:r w:rsidRPr="00C82383">
        <w:rPr>
          <w:rStyle w:val="Emphasis"/>
        </w:rPr>
        <w:t>BMJ</w:t>
      </w:r>
      <w:r w:rsidRPr="00C82383">
        <w:t>, 363, k4388.</w:t>
      </w:r>
    </w:p>
    <w:p w14:paraId="152750E5"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lang w:val="sv-SE"/>
        </w:rPr>
        <w:t xml:space="preserve">Mammen, M.J., Lloyd, D.R., Kumar, S., et al. </w:t>
      </w:r>
      <w:r w:rsidRPr="00C82383">
        <w:t xml:space="preserve">(2020). Triple therapy versus dual or monotherapy with long-acting bronchodilators for chronic obstructive pulmonary disease: A systematic review and meta-analysis. </w:t>
      </w:r>
      <w:r w:rsidRPr="00C82383">
        <w:rPr>
          <w:rStyle w:val="Emphasis"/>
        </w:rPr>
        <w:t>Annals of the American Thoracic Society</w:t>
      </w:r>
      <w:r w:rsidRPr="00C82383">
        <w:t>, 17, 1308–1318.</w:t>
      </w:r>
    </w:p>
    <w:p w14:paraId="20572D3F"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t xml:space="preserve">Rodrigo, G.J., Plaza, V., Castro-Rodríguez, J.A. (2012). Comparison of three combined pharmacological approaches with tiotropium monotherapy in stable moderate to severe COPD: A systematic review. </w:t>
      </w:r>
      <w:r w:rsidRPr="00C82383">
        <w:rPr>
          <w:rStyle w:val="Emphasis"/>
        </w:rPr>
        <w:t>Pulmonary Pharmacology &amp; Therapeutics</w:t>
      </w:r>
      <w:r w:rsidRPr="00C82383">
        <w:t>, 25, 40–47.</w:t>
      </w:r>
    </w:p>
    <w:p w14:paraId="4B6F8B60"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lang w:val="sv-SE"/>
        </w:rPr>
        <w:t xml:space="preserve">Kwak, M.S., Kim, E., Jang, E.J., et al. </w:t>
      </w:r>
      <w:r w:rsidRPr="00C82383">
        <w:t xml:space="preserve">(2015). The efficacy and safety of triple inhaled treatment in patients with chronic obstructive pulmonary disease: A systematic review and meta-analysis using Bayesian methods. </w:t>
      </w:r>
      <w:r w:rsidRPr="00C82383">
        <w:rPr>
          <w:rStyle w:val="Emphasis"/>
        </w:rPr>
        <w:t>International Journal of Chronic Obstructive Pulmonary Disease</w:t>
      </w:r>
      <w:r w:rsidRPr="00C82383">
        <w:t>, 10, 2365–2376.</w:t>
      </w:r>
    </w:p>
    <w:p w14:paraId="1142B247"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t xml:space="preserve">Rojas-Reyes, M.X., García Morales, O.M., Dennis, R.J., et al. (2016). Combination inhaled steroid and long-acting beta2-agonist in addition to tiotropium versus tiotropium or combination alone for chronic obstructive pulmonary disease. </w:t>
      </w:r>
      <w:r w:rsidRPr="00C82383">
        <w:rPr>
          <w:rStyle w:val="Emphasis"/>
        </w:rPr>
        <w:t>Cochrane Database of Systematic Reviews</w:t>
      </w:r>
      <w:r w:rsidRPr="00C82383">
        <w:t>, 2016, CD008532.</w:t>
      </w:r>
    </w:p>
    <w:p w14:paraId="46BDFD73"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rPr>
          <w:lang w:val="sv-SE"/>
        </w:rPr>
        <w:t xml:space="preserve">Cazzola, M., Rogliani, P., Calzetta, L., et al. </w:t>
      </w:r>
      <w:r w:rsidRPr="00C82383">
        <w:t xml:space="preserve">(2018). Triple therapy versus single and dual long-acting bronchodilator therapy in COPD: A systematic review and meta-analysis. </w:t>
      </w:r>
      <w:r w:rsidRPr="00C82383">
        <w:rPr>
          <w:rStyle w:val="Emphasis"/>
        </w:rPr>
        <w:t>European Respiratory Journal</w:t>
      </w:r>
      <w:r w:rsidRPr="00C82383">
        <w:t>, 52, 1801586.</w:t>
      </w:r>
    </w:p>
    <w:p w14:paraId="01B0EC57"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t xml:space="preserve">Lai, C.C., Chen, C.H., Lin, C.Y.H., et al. (2019). The effects of single inhaler triple therapy vs single inhaler dual therapy or separate triple therapy for the management of chronic obstructive pulmonary disease: A systematic review and meta-analysis of randomized controlled trials. </w:t>
      </w:r>
      <w:r w:rsidRPr="00C82383">
        <w:rPr>
          <w:rStyle w:val="Emphasis"/>
        </w:rPr>
        <w:t>International Journal of Chronic Obstructive Pulmonary Disease</w:t>
      </w:r>
      <w:r w:rsidRPr="00C82383">
        <w:t>, 14, 1539–1548.</w:t>
      </w:r>
    </w:p>
    <w:p w14:paraId="7B67649F" w14:textId="77777777" w:rsidR="004A2C84" w:rsidRPr="00C82383" w:rsidRDefault="004A2C84" w:rsidP="00C82383">
      <w:pPr>
        <w:pStyle w:val="NormalWeb"/>
        <w:numPr>
          <w:ilvl w:val="0"/>
          <w:numId w:val="3"/>
        </w:numPr>
        <w:spacing w:before="0" w:beforeAutospacing="0" w:after="0" w:afterAutospacing="0"/>
        <w:ind w:left="426" w:hanging="426"/>
        <w:jc w:val="both"/>
      </w:pPr>
      <w:r w:rsidRPr="00C82383">
        <w:lastRenderedPageBreak/>
        <w:t xml:space="preserve">Zayed, Y., Barbarawi, M., Kheiri, B., et al. (2019). Triple versus dual inhaler therapy in moderate-to-severe COPD: A systematic review and meta-analysis of randomized controlled trials. </w:t>
      </w:r>
      <w:r w:rsidRPr="00C82383">
        <w:rPr>
          <w:rStyle w:val="Emphasis"/>
        </w:rPr>
        <w:t>Clinical Respiratory Journal</w:t>
      </w:r>
      <w:r w:rsidRPr="00C82383">
        <w:t>, 13, 413–428.</w:t>
      </w:r>
    </w:p>
    <w:p w14:paraId="450B4A37" w14:textId="783E3420" w:rsidR="00961335" w:rsidRPr="00C82383" w:rsidRDefault="004A2C84" w:rsidP="00393BAC">
      <w:pPr>
        <w:pStyle w:val="NormalWeb"/>
        <w:numPr>
          <w:ilvl w:val="0"/>
          <w:numId w:val="3"/>
        </w:numPr>
        <w:spacing w:before="0" w:beforeAutospacing="0" w:after="0" w:afterAutospacing="0"/>
        <w:ind w:left="426" w:hanging="426"/>
        <w:jc w:val="both"/>
        <w:rPr>
          <w:b/>
          <w:bCs/>
        </w:rPr>
      </w:pPr>
      <w:r w:rsidRPr="00C82383">
        <w:rPr>
          <w:lang w:val="sv-SE"/>
        </w:rPr>
        <w:t xml:space="preserve">Long, H., Xu, H., Janssens, J.P., et al. </w:t>
      </w:r>
      <w:r w:rsidRPr="00C82383">
        <w:t xml:space="preserve">(2021). Single-inhaler triple vs single-inhaler dual therapy in patients with chronic obstructive pulmonary disease: A meta-analysis of randomized control trials. </w:t>
      </w:r>
      <w:r w:rsidRPr="00C82383">
        <w:rPr>
          <w:rStyle w:val="Emphasis"/>
        </w:rPr>
        <w:t>Respiratory Research</w:t>
      </w:r>
      <w:r w:rsidRPr="00C82383">
        <w:t>, 22, 209.</w:t>
      </w:r>
    </w:p>
    <w:sectPr w:rsidR="00961335" w:rsidRPr="00C82383" w:rsidSect="004C7159">
      <w:headerReference w:type="default" r:id="rId10"/>
      <w:footerReference w:type="default" r:id="rId11"/>
      <w:footerReference w:type="first" r:id="rId12"/>
      <w:pgSz w:w="11906" w:h="16838" w:code="9"/>
      <w:pgMar w:top="1021" w:right="1066" w:bottom="964" w:left="1168" w:header="851" w:footer="777" w:gutter="0"/>
      <w:pgNumType w:start="30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AF274" w14:textId="77777777" w:rsidR="00682DB4" w:rsidRDefault="00682DB4" w:rsidP="00C82383">
      <w:pPr>
        <w:spacing w:after="0" w:line="240" w:lineRule="auto"/>
      </w:pPr>
      <w:r>
        <w:separator/>
      </w:r>
    </w:p>
  </w:endnote>
  <w:endnote w:type="continuationSeparator" w:id="0">
    <w:p w14:paraId="1BCCFFD1" w14:textId="77777777" w:rsidR="00682DB4" w:rsidRDefault="00682DB4" w:rsidP="00C8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36CA" w14:textId="13129AA6" w:rsidR="00C82383" w:rsidRPr="00C82383" w:rsidRDefault="00C82383" w:rsidP="00C82383">
    <w:pPr>
      <w:pStyle w:val="Footer"/>
      <w:pBdr>
        <w:top w:val="single" w:sz="4" w:space="0" w:color="000000"/>
      </w:pBdr>
      <w:tabs>
        <w:tab w:val="clear" w:pos="4513"/>
        <w:tab w:val="clear" w:pos="9026"/>
        <w:tab w:val="right" w:pos="9639"/>
      </w:tabs>
      <w:ind w:right="33"/>
      <w:rPr>
        <w:rFonts w:ascii="Times New Roman" w:hAnsi="Times New Roman" w:cs="Times New Roman"/>
        <w:color w:val="000000"/>
        <w:sz w:val="20"/>
        <w:szCs w:val="20"/>
      </w:rPr>
    </w:pPr>
    <w:hyperlink r:id="rId1" w:history="1">
      <w:r w:rsidRPr="00C82383">
        <w:rPr>
          <w:rStyle w:val="Hyperlink"/>
          <w:rFonts w:ascii="Times New Roman" w:hAnsi="Times New Roman" w:cs="Times New Roman"/>
          <w:color w:val="000000"/>
          <w:sz w:val="20"/>
          <w:szCs w:val="20"/>
          <w:u w:val="none"/>
          <w:shd w:val="clear" w:color="auto" w:fill="FFFFFF"/>
        </w:rPr>
        <w:t xml:space="preserve">Vol.31 No. </w:t>
      </w:r>
      <w:r>
        <w:rPr>
          <w:rStyle w:val="Hyperlink"/>
          <w:rFonts w:ascii="Times New Roman" w:hAnsi="Times New Roman" w:cs="Times New Roman"/>
          <w:color w:val="000000"/>
          <w:sz w:val="20"/>
          <w:szCs w:val="20"/>
          <w:u w:val="none"/>
          <w:shd w:val="clear" w:color="auto" w:fill="FFFFFF"/>
        </w:rPr>
        <w:t>08</w:t>
      </w:r>
      <w:r w:rsidRPr="00C82383">
        <w:rPr>
          <w:rStyle w:val="Hyperlink"/>
          <w:rFonts w:ascii="Times New Roman" w:hAnsi="Times New Roman" w:cs="Times New Roman"/>
          <w:color w:val="000000"/>
          <w:sz w:val="20"/>
          <w:szCs w:val="20"/>
          <w:u w:val="none"/>
          <w:shd w:val="clear" w:color="auto" w:fill="FFFFFF"/>
        </w:rPr>
        <w:t xml:space="preserve"> (2024) JPTCP</w:t>
      </w:r>
    </w:hyperlink>
    <w:r w:rsidRPr="00C82383">
      <w:rPr>
        <w:rFonts w:ascii="Times New Roman" w:hAnsi="Times New Roman" w:cs="Times New Roman"/>
        <w:color w:val="000000"/>
        <w:sz w:val="20"/>
        <w:szCs w:val="20"/>
      </w:rPr>
      <w:t xml:space="preserve"> (</w:t>
    </w:r>
    <w:r w:rsidR="00156278">
      <w:rPr>
        <w:rFonts w:ascii="Times New Roman" w:hAnsi="Times New Roman" w:cs="Times New Roman"/>
        <w:color w:val="000000"/>
        <w:sz w:val="20"/>
        <w:szCs w:val="20"/>
      </w:rPr>
      <w:t>3093</w:t>
    </w:r>
    <w:r w:rsidRPr="00C82383">
      <w:rPr>
        <w:rFonts w:ascii="Times New Roman" w:hAnsi="Times New Roman" w:cs="Times New Roman"/>
        <w:color w:val="000000"/>
        <w:sz w:val="20"/>
        <w:szCs w:val="20"/>
      </w:rPr>
      <w:t>-</w:t>
    </w:r>
    <w:r w:rsidR="00156278">
      <w:rPr>
        <w:rFonts w:ascii="Times New Roman" w:hAnsi="Times New Roman" w:cs="Times New Roman"/>
        <w:color w:val="000000"/>
        <w:sz w:val="20"/>
        <w:szCs w:val="20"/>
      </w:rPr>
      <w:t>3099</w:t>
    </w:r>
    <w:r w:rsidRPr="00C82383">
      <w:rPr>
        <w:rFonts w:ascii="Times New Roman" w:hAnsi="Times New Roman" w:cs="Times New Roman"/>
        <w:color w:val="000000"/>
        <w:sz w:val="20"/>
        <w:szCs w:val="20"/>
      </w:rPr>
      <w:t xml:space="preserve">) </w:t>
    </w:r>
    <w:r w:rsidRPr="00C82383">
      <w:rPr>
        <w:rFonts w:ascii="Times New Roman" w:hAnsi="Times New Roman" w:cs="Times New Roman"/>
        <w:color w:val="000000"/>
        <w:sz w:val="20"/>
        <w:szCs w:val="20"/>
      </w:rPr>
      <w:tab/>
      <w:t xml:space="preserve">Page | </w:t>
    </w:r>
    <w:r w:rsidRPr="00C82383">
      <w:rPr>
        <w:rFonts w:ascii="Times New Roman" w:hAnsi="Times New Roman" w:cs="Times New Roman"/>
        <w:color w:val="000000"/>
        <w:sz w:val="20"/>
        <w:szCs w:val="20"/>
      </w:rPr>
      <w:fldChar w:fldCharType="begin"/>
    </w:r>
    <w:r w:rsidRPr="00C82383">
      <w:rPr>
        <w:rFonts w:ascii="Times New Roman" w:hAnsi="Times New Roman" w:cs="Times New Roman"/>
        <w:color w:val="000000"/>
        <w:sz w:val="20"/>
        <w:szCs w:val="20"/>
      </w:rPr>
      <w:instrText xml:space="preserve"> PAGE </w:instrText>
    </w:r>
    <w:r w:rsidRPr="00C82383">
      <w:rPr>
        <w:rFonts w:ascii="Times New Roman" w:hAnsi="Times New Roman" w:cs="Times New Roman"/>
        <w:color w:val="000000"/>
        <w:sz w:val="20"/>
        <w:szCs w:val="20"/>
      </w:rPr>
      <w:fldChar w:fldCharType="separate"/>
    </w:r>
    <w:r w:rsidRPr="00C82383">
      <w:rPr>
        <w:rFonts w:ascii="Times New Roman" w:hAnsi="Times New Roman" w:cs="Times New Roman"/>
        <w:color w:val="000000"/>
        <w:sz w:val="20"/>
        <w:szCs w:val="20"/>
      </w:rPr>
      <w:t>1</w:t>
    </w:r>
    <w:r w:rsidRPr="00C82383">
      <w:rPr>
        <w:rFonts w:ascii="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2C67" w14:textId="77777777" w:rsidR="00156278" w:rsidRPr="00C82383" w:rsidRDefault="00156278" w:rsidP="00156278">
    <w:pPr>
      <w:pStyle w:val="Footer"/>
      <w:pBdr>
        <w:top w:val="single" w:sz="4" w:space="0" w:color="000000"/>
      </w:pBdr>
      <w:tabs>
        <w:tab w:val="clear" w:pos="4513"/>
        <w:tab w:val="clear" w:pos="9026"/>
        <w:tab w:val="right" w:pos="9639"/>
      </w:tabs>
      <w:ind w:right="33"/>
      <w:rPr>
        <w:rFonts w:ascii="Times New Roman" w:hAnsi="Times New Roman" w:cs="Times New Roman"/>
        <w:color w:val="000000"/>
        <w:sz w:val="20"/>
        <w:szCs w:val="20"/>
      </w:rPr>
    </w:pPr>
    <w:hyperlink r:id="rId1" w:history="1">
      <w:r w:rsidRPr="00C82383">
        <w:rPr>
          <w:rStyle w:val="Hyperlink"/>
          <w:rFonts w:ascii="Times New Roman" w:hAnsi="Times New Roman" w:cs="Times New Roman"/>
          <w:color w:val="000000"/>
          <w:sz w:val="20"/>
          <w:szCs w:val="20"/>
          <w:u w:val="none"/>
          <w:shd w:val="clear" w:color="auto" w:fill="FFFFFF"/>
        </w:rPr>
        <w:t xml:space="preserve">Vol.31 No. </w:t>
      </w:r>
      <w:r>
        <w:rPr>
          <w:rStyle w:val="Hyperlink"/>
          <w:rFonts w:ascii="Times New Roman" w:hAnsi="Times New Roman" w:cs="Times New Roman"/>
          <w:color w:val="000000"/>
          <w:sz w:val="20"/>
          <w:szCs w:val="20"/>
          <w:u w:val="none"/>
          <w:shd w:val="clear" w:color="auto" w:fill="FFFFFF"/>
        </w:rPr>
        <w:t>08</w:t>
      </w:r>
      <w:r w:rsidRPr="00C82383">
        <w:rPr>
          <w:rStyle w:val="Hyperlink"/>
          <w:rFonts w:ascii="Times New Roman" w:hAnsi="Times New Roman" w:cs="Times New Roman"/>
          <w:color w:val="000000"/>
          <w:sz w:val="20"/>
          <w:szCs w:val="20"/>
          <w:u w:val="none"/>
          <w:shd w:val="clear" w:color="auto" w:fill="FFFFFF"/>
        </w:rPr>
        <w:t xml:space="preserve"> (2024) JPTCP</w:t>
      </w:r>
    </w:hyperlink>
    <w:r w:rsidRPr="00C82383">
      <w:rPr>
        <w:rFonts w:ascii="Times New Roman" w:hAnsi="Times New Roman" w:cs="Times New Roman"/>
        <w:color w:val="000000"/>
        <w:sz w:val="20"/>
        <w:szCs w:val="20"/>
      </w:rPr>
      <w:t xml:space="preserve"> (</w:t>
    </w:r>
    <w:r>
      <w:rPr>
        <w:rFonts w:ascii="Times New Roman" w:hAnsi="Times New Roman" w:cs="Times New Roman"/>
        <w:color w:val="000000"/>
        <w:sz w:val="20"/>
        <w:szCs w:val="20"/>
      </w:rPr>
      <w:t>3093</w:t>
    </w:r>
    <w:r w:rsidRPr="00C82383">
      <w:rPr>
        <w:rFonts w:ascii="Times New Roman" w:hAnsi="Times New Roman" w:cs="Times New Roman"/>
        <w:color w:val="000000"/>
        <w:sz w:val="20"/>
        <w:szCs w:val="20"/>
      </w:rPr>
      <w:t>-</w:t>
    </w:r>
    <w:r>
      <w:rPr>
        <w:rFonts w:ascii="Times New Roman" w:hAnsi="Times New Roman" w:cs="Times New Roman"/>
        <w:color w:val="000000"/>
        <w:sz w:val="20"/>
        <w:szCs w:val="20"/>
      </w:rPr>
      <w:t>3099</w:t>
    </w:r>
    <w:r w:rsidRPr="00C82383">
      <w:rPr>
        <w:rFonts w:ascii="Times New Roman" w:hAnsi="Times New Roman" w:cs="Times New Roman"/>
        <w:color w:val="000000"/>
        <w:sz w:val="20"/>
        <w:szCs w:val="20"/>
      </w:rPr>
      <w:t xml:space="preserve">) </w:t>
    </w:r>
    <w:r w:rsidRPr="00C82383">
      <w:rPr>
        <w:rFonts w:ascii="Times New Roman" w:hAnsi="Times New Roman" w:cs="Times New Roman"/>
        <w:color w:val="000000"/>
        <w:sz w:val="20"/>
        <w:szCs w:val="20"/>
      </w:rPr>
      <w:tab/>
      <w:t xml:space="preserve">Page | </w:t>
    </w:r>
    <w:r w:rsidRPr="00C82383">
      <w:rPr>
        <w:rFonts w:ascii="Times New Roman" w:hAnsi="Times New Roman" w:cs="Times New Roman"/>
        <w:color w:val="000000"/>
        <w:sz w:val="20"/>
        <w:szCs w:val="20"/>
      </w:rPr>
      <w:fldChar w:fldCharType="begin"/>
    </w:r>
    <w:r w:rsidRPr="00C82383">
      <w:rPr>
        <w:rFonts w:ascii="Times New Roman" w:hAnsi="Times New Roman" w:cs="Times New Roman"/>
        <w:color w:val="000000"/>
        <w:sz w:val="20"/>
        <w:szCs w:val="20"/>
      </w:rPr>
      <w:instrText xml:space="preserve"> PAGE </w:instrText>
    </w:r>
    <w:r w:rsidRPr="00C82383">
      <w:rPr>
        <w:rFonts w:ascii="Times New Roman" w:hAnsi="Times New Roman" w:cs="Times New Roman"/>
        <w:color w:val="000000"/>
        <w:sz w:val="20"/>
        <w:szCs w:val="20"/>
      </w:rPr>
      <w:fldChar w:fldCharType="separate"/>
    </w:r>
    <w:r>
      <w:rPr>
        <w:rFonts w:ascii="Times New Roman" w:hAnsi="Times New Roman" w:cs="Times New Roman"/>
        <w:color w:val="000000"/>
        <w:sz w:val="20"/>
        <w:szCs w:val="20"/>
      </w:rPr>
      <w:t>3099</w:t>
    </w:r>
    <w:r w:rsidRPr="00C82383">
      <w:rPr>
        <w:rFonts w:ascii="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E4D1E" w14:textId="77777777" w:rsidR="00682DB4" w:rsidRDefault="00682DB4" w:rsidP="00C82383">
      <w:pPr>
        <w:spacing w:after="0" w:line="240" w:lineRule="auto"/>
      </w:pPr>
      <w:r>
        <w:separator/>
      </w:r>
    </w:p>
  </w:footnote>
  <w:footnote w:type="continuationSeparator" w:id="0">
    <w:p w14:paraId="4E0D14D7" w14:textId="77777777" w:rsidR="00682DB4" w:rsidRDefault="00682DB4" w:rsidP="00C8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7236" w14:textId="69632D5C" w:rsidR="00C82383" w:rsidRPr="00C82383" w:rsidRDefault="00C82383" w:rsidP="00C82383">
    <w:pPr>
      <w:pStyle w:val="NoSpacing"/>
      <w:pBdr>
        <w:bottom w:val="single" w:sz="4" w:space="1" w:color="auto"/>
      </w:pBdr>
      <w:jc w:val="center"/>
      <w:rPr>
        <w:rFonts w:ascii="Times New Roman" w:hAnsi="Times New Roman" w:cs="Times New Roman"/>
        <w:sz w:val="20"/>
        <w:szCs w:val="20"/>
      </w:rPr>
    </w:pPr>
    <w:r w:rsidRPr="00C82383">
      <w:rPr>
        <w:rFonts w:ascii="Times New Roman" w:hAnsi="Times New Roman" w:cs="Times New Roman"/>
        <w:sz w:val="20"/>
        <w:szCs w:val="20"/>
      </w:rPr>
      <w:t>Comparative Efficacy and Safety of Different Pharmacological Treatments for Acute Exacerbations of Chronic Obstructive Pulmonary Disease (</w:t>
    </w:r>
    <w:r w:rsidR="00B5628C" w:rsidRPr="00C82383">
      <w:rPr>
        <w:rFonts w:ascii="Times New Roman" w:hAnsi="Times New Roman" w:cs="Times New Roman"/>
        <w:sz w:val="20"/>
        <w:szCs w:val="20"/>
      </w:rPr>
      <w:t>COPD</w:t>
    </w:r>
    <w:r w:rsidRPr="00C82383">
      <w:rPr>
        <w:rFonts w:ascii="Times New Roman" w:hAnsi="Times New Roman" w:cs="Times New Roman"/>
        <w:sz w:val="20"/>
        <w:szCs w:val="20"/>
      </w:rPr>
      <w:t>)</w:t>
    </w:r>
  </w:p>
  <w:p w14:paraId="6141666B" w14:textId="77777777" w:rsidR="00C82383" w:rsidRDefault="00C82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77363"/>
    <w:multiLevelType w:val="multilevel"/>
    <w:tmpl w:val="017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B6339"/>
    <w:multiLevelType w:val="multilevel"/>
    <w:tmpl w:val="8E1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A3D83"/>
    <w:multiLevelType w:val="hybridMultilevel"/>
    <w:tmpl w:val="ABFC6E82"/>
    <w:lvl w:ilvl="0" w:tplc="D5CCAFC2">
      <w:start w:val="1"/>
      <w:numFmt w:val="decimal"/>
      <w:lvlText w:val="%1."/>
      <w:lvlJc w:val="left"/>
      <w:pPr>
        <w:ind w:left="644"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9024385">
    <w:abstractNumId w:val="0"/>
  </w:num>
  <w:num w:numId="2" w16cid:durableId="173736196">
    <w:abstractNumId w:val="1"/>
  </w:num>
  <w:num w:numId="3" w16cid:durableId="58145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317"/>
    <w:rsid w:val="00156278"/>
    <w:rsid w:val="00193E59"/>
    <w:rsid w:val="00251F57"/>
    <w:rsid w:val="002E1BFA"/>
    <w:rsid w:val="0038188D"/>
    <w:rsid w:val="004A2C84"/>
    <w:rsid w:val="004B0A60"/>
    <w:rsid w:val="004C7159"/>
    <w:rsid w:val="00516FEA"/>
    <w:rsid w:val="005813DA"/>
    <w:rsid w:val="00585B69"/>
    <w:rsid w:val="00595875"/>
    <w:rsid w:val="005C3C07"/>
    <w:rsid w:val="005E76C2"/>
    <w:rsid w:val="00682DB4"/>
    <w:rsid w:val="006B299C"/>
    <w:rsid w:val="006D2A5C"/>
    <w:rsid w:val="0078777E"/>
    <w:rsid w:val="007B124F"/>
    <w:rsid w:val="007B722D"/>
    <w:rsid w:val="00934349"/>
    <w:rsid w:val="00961335"/>
    <w:rsid w:val="00A51EA6"/>
    <w:rsid w:val="00AC0C3F"/>
    <w:rsid w:val="00B5628C"/>
    <w:rsid w:val="00B67333"/>
    <w:rsid w:val="00BD6AD6"/>
    <w:rsid w:val="00C10F59"/>
    <w:rsid w:val="00C22317"/>
    <w:rsid w:val="00C82383"/>
    <w:rsid w:val="00D20C80"/>
    <w:rsid w:val="00F73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E31E"/>
  <w15:docId w15:val="{E757B5D6-EF4A-438E-B06B-03F1696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8D"/>
  </w:style>
  <w:style w:type="paragraph" w:styleId="Heading3">
    <w:name w:val="heading 3"/>
    <w:basedOn w:val="Normal"/>
    <w:next w:val="Normal"/>
    <w:link w:val="Heading3Char"/>
    <w:uiPriority w:val="9"/>
    <w:semiHidden/>
    <w:unhideWhenUsed/>
    <w:qFormat/>
    <w:rsid w:val="007B7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51EA6"/>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paragraph" w:styleId="Heading5">
    <w:name w:val="heading 5"/>
    <w:basedOn w:val="Normal"/>
    <w:next w:val="Normal"/>
    <w:link w:val="Heading5Char"/>
    <w:uiPriority w:val="9"/>
    <w:semiHidden/>
    <w:unhideWhenUsed/>
    <w:qFormat/>
    <w:rsid w:val="007B7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B722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33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51EA6"/>
    <w:rPr>
      <w:b/>
      <w:bCs/>
    </w:rPr>
  </w:style>
  <w:style w:type="character" w:customStyle="1" w:styleId="Heading4Char">
    <w:name w:val="Heading 4 Char"/>
    <w:basedOn w:val="DefaultParagraphFont"/>
    <w:link w:val="Heading4"/>
    <w:uiPriority w:val="9"/>
    <w:rsid w:val="00A51EA6"/>
    <w:rPr>
      <w:rFonts w:ascii="Times New Roman" w:eastAsia="Times New Roman" w:hAnsi="Times New Roman" w:cs="Times New Roman"/>
      <w:b/>
      <w:bCs/>
      <w:kern w:val="0"/>
      <w:sz w:val="24"/>
      <w:szCs w:val="24"/>
    </w:rPr>
  </w:style>
  <w:style w:type="paragraph" w:styleId="ListParagraph">
    <w:name w:val="List Paragraph"/>
    <w:basedOn w:val="Normal"/>
    <w:uiPriority w:val="34"/>
    <w:qFormat/>
    <w:rsid w:val="00A51EA6"/>
    <w:pPr>
      <w:ind w:left="720"/>
      <w:contextualSpacing/>
    </w:pPr>
  </w:style>
  <w:style w:type="character" w:customStyle="1" w:styleId="Heading5Char">
    <w:name w:val="Heading 5 Char"/>
    <w:basedOn w:val="DefaultParagraphFont"/>
    <w:link w:val="Heading5"/>
    <w:uiPriority w:val="9"/>
    <w:semiHidden/>
    <w:rsid w:val="007B7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B722D"/>
    <w:rPr>
      <w:rFonts w:asciiTheme="majorHAnsi" w:eastAsiaTheme="majorEastAsia" w:hAnsiTheme="majorHAnsi" w:cstheme="majorBidi"/>
      <w:color w:val="1F3763" w:themeColor="accent1" w:themeShade="7F"/>
    </w:rPr>
  </w:style>
  <w:style w:type="character" w:customStyle="1" w:styleId="overflow-hidden">
    <w:name w:val="overflow-hidden"/>
    <w:basedOn w:val="DefaultParagraphFont"/>
    <w:rsid w:val="007B722D"/>
  </w:style>
  <w:style w:type="table" w:styleId="TableGrid">
    <w:name w:val="Table Grid"/>
    <w:basedOn w:val="TableNormal"/>
    <w:uiPriority w:val="39"/>
    <w:rsid w:val="007B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B722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qFormat/>
    <w:rsid w:val="004A2C84"/>
    <w:rPr>
      <w:color w:val="0563C1" w:themeColor="hyperlink"/>
      <w:u w:val="single"/>
    </w:rPr>
  </w:style>
  <w:style w:type="character" w:customStyle="1" w:styleId="UnresolvedMention1">
    <w:name w:val="Unresolved Mention1"/>
    <w:basedOn w:val="DefaultParagraphFont"/>
    <w:uiPriority w:val="99"/>
    <w:semiHidden/>
    <w:unhideWhenUsed/>
    <w:rsid w:val="004A2C84"/>
    <w:rPr>
      <w:color w:val="605E5C"/>
      <w:shd w:val="clear" w:color="auto" w:fill="E1DFDD"/>
    </w:rPr>
  </w:style>
  <w:style w:type="character" w:styleId="Emphasis">
    <w:name w:val="Emphasis"/>
    <w:basedOn w:val="DefaultParagraphFont"/>
    <w:uiPriority w:val="20"/>
    <w:qFormat/>
    <w:rsid w:val="004A2C84"/>
    <w:rPr>
      <w:i/>
      <w:iCs/>
    </w:rPr>
  </w:style>
  <w:style w:type="paragraph" w:styleId="NoSpacing">
    <w:name w:val="No Spacing"/>
    <w:uiPriority w:val="1"/>
    <w:qFormat/>
    <w:rsid w:val="00C82383"/>
    <w:pPr>
      <w:spacing w:after="0" w:line="240" w:lineRule="auto"/>
    </w:pPr>
  </w:style>
  <w:style w:type="table" w:styleId="TableGridLight">
    <w:name w:val="Grid Table Light"/>
    <w:basedOn w:val="TableNormal"/>
    <w:uiPriority w:val="40"/>
    <w:rsid w:val="00C823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qFormat/>
    <w:rsid w:val="00C82383"/>
    <w:pPr>
      <w:tabs>
        <w:tab w:val="center" w:pos="4153"/>
        <w:tab w:val="right" w:pos="8306"/>
      </w:tabs>
      <w:snapToGrid w:val="0"/>
      <w:spacing w:after="0" w:line="240" w:lineRule="auto"/>
    </w:pPr>
    <w:rPr>
      <w:rFonts w:eastAsiaTheme="minorEastAsia"/>
      <w:kern w:val="0"/>
      <w:sz w:val="18"/>
      <w:szCs w:val="18"/>
      <w:lang w:eastAsia="zh-CN"/>
    </w:rPr>
  </w:style>
  <w:style w:type="character" w:customStyle="1" w:styleId="HeaderChar">
    <w:name w:val="Header Char"/>
    <w:basedOn w:val="DefaultParagraphFont"/>
    <w:link w:val="Header"/>
    <w:uiPriority w:val="99"/>
    <w:qFormat/>
    <w:rsid w:val="00C82383"/>
    <w:rPr>
      <w:rFonts w:eastAsiaTheme="minorEastAsia"/>
      <w:kern w:val="0"/>
      <w:sz w:val="18"/>
      <w:szCs w:val="18"/>
      <w:lang w:eastAsia="zh-CN"/>
    </w:rPr>
  </w:style>
  <w:style w:type="paragraph" w:styleId="Footer">
    <w:name w:val="footer"/>
    <w:basedOn w:val="Normal"/>
    <w:link w:val="FooterChar"/>
    <w:uiPriority w:val="99"/>
    <w:unhideWhenUsed/>
    <w:qFormat/>
    <w:rsid w:val="00C8238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8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4023">
      <w:bodyDiv w:val="1"/>
      <w:marLeft w:val="0"/>
      <w:marRight w:val="0"/>
      <w:marTop w:val="0"/>
      <w:marBottom w:val="0"/>
      <w:divBdr>
        <w:top w:val="none" w:sz="0" w:space="0" w:color="auto"/>
        <w:left w:val="none" w:sz="0" w:space="0" w:color="auto"/>
        <w:bottom w:val="none" w:sz="0" w:space="0" w:color="auto"/>
        <w:right w:val="none" w:sz="0" w:space="0" w:color="auto"/>
      </w:divBdr>
    </w:div>
    <w:div w:id="323625338">
      <w:bodyDiv w:val="1"/>
      <w:marLeft w:val="0"/>
      <w:marRight w:val="0"/>
      <w:marTop w:val="0"/>
      <w:marBottom w:val="0"/>
      <w:divBdr>
        <w:top w:val="none" w:sz="0" w:space="0" w:color="auto"/>
        <w:left w:val="none" w:sz="0" w:space="0" w:color="auto"/>
        <w:bottom w:val="none" w:sz="0" w:space="0" w:color="auto"/>
        <w:right w:val="none" w:sz="0" w:space="0" w:color="auto"/>
      </w:divBdr>
    </w:div>
    <w:div w:id="902636773">
      <w:bodyDiv w:val="1"/>
      <w:marLeft w:val="0"/>
      <w:marRight w:val="0"/>
      <w:marTop w:val="0"/>
      <w:marBottom w:val="0"/>
      <w:divBdr>
        <w:top w:val="none" w:sz="0" w:space="0" w:color="auto"/>
        <w:left w:val="none" w:sz="0" w:space="0" w:color="auto"/>
        <w:bottom w:val="none" w:sz="0" w:space="0" w:color="auto"/>
        <w:right w:val="none" w:sz="0" w:space="0" w:color="auto"/>
      </w:divBdr>
    </w:div>
    <w:div w:id="1153840294">
      <w:bodyDiv w:val="1"/>
      <w:marLeft w:val="0"/>
      <w:marRight w:val="0"/>
      <w:marTop w:val="0"/>
      <w:marBottom w:val="0"/>
      <w:divBdr>
        <w:top w:val="none" w:sz="0" w:space="0" w:color="auto"/>
        <w:left w:val="none" w:sz="0" w:space="0" w:color="auto"/>
        <w:bottom w:val="none" w:sz="0" w:space="0" w:color="auto"/>
        <w:right w:val="none" w:sz="0" w:space="0" w:color="auto"/>
      </w:divBdr>
      <w:divsChild>
        <w:div w:id="1074085645">
          <w:marLeft w:val="0"/>
          <w:marRight w:val="0"/>
          <w:marTop w:val="0"/>
          <w:marBottom w:val="0"/>
          <w:divBdr>
            <w:top w:val="none" w:sz="0" w:space="0" w:color="auto"/>
            <w:left w:val="none" w:sz="0" w:space="0" w:color="auto"/>
            <w:bottom w:val="none" w:sz="0" w:space="0" w:color="auto"/>
            <w:right w:val="none" w:sz="0" w:space="0" w:color="auto"/>
          </w:divBdr>
          <w:divsChild>
            <w:div w:id="2119330722">
              <w:marLeft w:val="0"/>
              <w:marRight w:val="0"/>
              <w:marTop w:val="0"/>
              <w:marBottom w:val="0"/>
              <w:divBdr>
                <w:top w:val="none" w:sz="0" w:space="0" w:color="auto"/>
                <w:left w:val="none" w:sz="0" w:space="0" w:color="auto"/>
                <w:bottom w:val="none" w:sz="0" w:space="0" w:color="auto"/>
                <w:right w:val="none" w:sz="0" w:space="0" w:color="auto"/>
              </w:divBdr>
              <w:divsChild>
                <w:div w:id="1771660462">
                  <w:marLeft w:val="0"/>
                  <w:marRight w:val="0"/>
                  <w:marTop w:val="0"/>
                  <w:marBottom w:val="0"/>
                  <w:divBdr>
                    <w:top w:val="none" w:sz="0" w:space="0" w:color="auto"/>
                    <w:left w:val="none" w:sz="0" w:space="0" w:color="auto"/>
                    <w:bottom w:val="none" w:sz="0" w:space="0" w:color="auto"/>
                    <w:right w:val="none" w:sz="0" w:space="0" w:color="auto"/>
                  </w:divBdr>
                  <w:divsChild>
                    <w:div w:id="1876383352">
                      <w:marLeft w:val="0"/>
                      <w:marRight w:val="0"/>
                      <w:marTop w:val="0"/>
                      <w:marBottom w:val="0"/>
                      <w:divBdr>
                        <w:top w:val="none" w:sz="0" w:space="0" w:color="auto"/>
                        <w:left w:val="none" w:sz="0" w:space="0" w:color="auto"/>
                        <w:bottom w:val="none" w:sz="0" w:space="0" w:color="auto"/>
                        <w:right w:val="none" w:sz="0" w:space="0" w:color="auto"/>
                      </w:divBdr>
                      <w:divsChild>
                        <w:div w:id="70662829">
                          <w:marLeft w:val="0"/>
                          <w:marRight w:val="0"/>
                          <w:marTop w:val="0"/>
                          <w:marBottom w:val="0"/>
                          <w:divBdr>
                            <w:top w:val="none" w:sz="0" w:space="0" w:color="auto"/>
                            <w:left w:val="none" w:sz="0" w:space="0" w:color="auto"/>
                            <w:bottom w:val="none" w:sz="0" w:space="0" w:color="auto"/>
                            <w:right w:val="none" w:sz="0" w:space="0" w:color="auto"/>
                          </w:divBdr>
                          <w:divsChild>
                            <w:div w:id="210504545">
                              <w:marLeft w:val="0"/>
                              <w:marRight w:val="0"/>
                              <w:marTop w:val="0"/>
                              <w:marBottom w:val="0"/>
                              <w:divBdr>
                                <w:top w:val="none" w:sz="0" w:space="0" w:color="auto"/>
                                <w:left w:val="none" w:sz="0" w:space="0" w:color="auto"/>
                                <w:bottom w:val="none" w:sz="0" w:space="0" w:color="auto"/>
                                <w:right w:val="none" w:sz="0" w:space="0" w:color="auto"/>
                              </w:divBdr>
                              <w:divsChild>
                                <w:div w:id="1672875009">
                                  <w:marLeft w:val="0"/>
                                  <w:marRight w:val="0"/>
                                  <w:marTop w:val="0"/>
                                  <w:marBottom w:val="0"/>
                                  <w:divBdr>
                                    <w:top w:val="none" w:sz="0" w:space="0" w:color="auto"/>
                                    <w:left w:val="none" w:sz="0" w:space="0" w:color="auto"/>
                                    <w:bottom w:val="none" w:sz="0" w:space="0" w:color="auto"/>
                                    <w:right w:val="none" w:sz="0" w:space="0" w:color="auto"/>
                                  </w:divBdr>
                                  <w:divsChild>
                                    <w:div w:id="10584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28764">
                          <w:marLeft w:val="0"/>
                          <w:marRight w:val="0"/>
                          <w:marTop w:val="0"/>
                          <w:marBottom w:val="0"/>
                          <w:divBdr>
                            <w:top w:val="none" w:sz="0" w:space="0" w:color="auto"/>
                            <w:left w:val="none" w:sz="0" w:space="0" w:color="auto"/>
                            <w:bottom w:val="none" w:sz="0" w:space="0" w:color="auto"/>
                            <w:right w:val="none" w:sz="0" w:space="0" w:color="auto"/>
                          </w:divBdr>
                          <w:divsChild>
                            <w:div w:id="2140605041">
                              <w:marLeft w:val="0"/>
                              <w:marRight w:val="0"/>
                              <w:marTop w:val="0"/>
                              <w:marBottom w:val="0"/>
                              <w:divBdr>
                                <w:top w:val="none" w:sz="0" w:space="0" w:color="auto"/>
                                <w:left w:val="none" w:sz="0" w:space="0" w:color="auto"/>
                                <w:bottom w:val="none" w:sz="0" w:space="0" w:color="auto"/>
                                <w:right w:val="none" w:sz="0" w:space="0" w:color="auto"/>
                              </w:divBdr>
                              <w:divsChild>
                                <w:div w:id="806976490">
                                  <w:marLeft w:val="0"/>
                                  <w:marRight w:val="0"/>
                                  <w:marTop w:val="0"/>
                                  <w:marBottom w:val="0"/>
                                  <w:divBdr>
                                    <w:top w:val="none" w:sz="0" w:space="0" w:color="auto"/>
                                    <w:left w:val="none" w:sz="0" w:space="0" w:color="auto"/>
                                    <w:bottom w:val="none" w:sz="0" w:space="0" w:color="auto"/>
                                    <w:right w:val="none" w:sz="0" w:space="0" w:color="auto"/>
                                  </w:divBdr>
                                  <w:divsChild>
                                    <w:div w:id="6638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3653">
          <w:marLeft w:val="0"/>
          <w:marRight w:val="0"/>
          <w:marTop w:val="0"/>
          <w:marBottom w:val="0"/>
          <w:divBdr>
            <w:top w:val="none" w:sz="0" w:space="0" w:color="auto"/>
            <w:left w:val="none" w:sz="0" w:space="0" w:color="auto"/>
            <w:bottom w:val="none" w:sz="0" w:space="0" w:color="auto"/>
            <w:right w:val="none" w:sz="0" w:space="0" w:color="auto"/>
          </w:divBdr>
          <w:divsChild>
            <w:div w:id="1994024767">
              <w:marLeft w:val="0"/>
              <w:marRight w:val="0"/>
              <w:marTop w:val="0"/>
              <w:marBottom w:val="0"/>
              <w:divBdr>
                <w:top w:val="none" w:sz="0" w:space="0" w:color="auto"/>
                <w:left w:val="none" w:sz="0" w:space="0" w:color="auto"/>
                <w:bottom w:val="none" w:sz="0" w:space="0" w:color="auto"/>
                <w:right w:val="none" w:sz="0" w:space="0" w:color="auto"/>
              </w:divBdr>
              <w:divsChild>
                <w:div w:id="1503811593">
                  <w:marLeft w:val="0"/>
                  <w:marRight w:val="0"/>
                  <w:marTop w:val="0"/>
                  <w:marBottom w:val="0"/>
                  <w:divBdr>
                    <w:top w:val="none" w:sz="0" w:space="0" w:color="auto"/>
                    <w:left w:val="none" w:sz="0" w:space="0" w:color="auto"/>
                    <w:bottom w:val="none" w:sz="0" w:space="0" w:color="auto"/>
                    <w:right w:val="none" w:sz="0" w:space="0" w:color="auto"/>
                  </w:divBdr>
                  <w:divsChild>
                    <w:div w:id="1621111240">
                      <w:marLeft w:val="0"/>
                      <w:marRight w:val="0"/>
                      <w:marTop w:val="0"/>
                      <w:marBottom w:val="0"/>
                      <w:divBdr>
                        <w:top w:val="none" w:sz="0" w:space="0" w:color="auto"/>
                        <w:left w:val="none" w:sz="0" w:space="0" w:color="auto"/>
                        <w:bottom w:val="none" w:sz="0" w:space="0" w:color="auto"/>
                        <w:right w:val="none" w:sz="0" w:space="0" w:color="auto"/>
                      </w:divBdr>
                      <w:divsChild>
                        <w:div w:id="627735616">
                          <w:marLeft w:val="0"/>
                          <w:marRight w:val="0"/>
                          <w:marTop w:val="0"/>
                          <w:marBottom w:val="0"/>
                          <w:divBdr>
                            <w:top w:val="none" w:sz="0" w:space="0" w:color="auto"/>
                            <w:left w:val="none" w:sz="0" w:space="0" w:color="auto"/>
                            <w:bottom w:val="none" w:sz="0" w:space="0" w:color="auto"/>
                            <w:right w:val="none" w:sz="0" w:space="0" w:color="auto"/>
                          </w:divBdr>
                          <w:divsChild>
                            <w:div w:id="2038042099">
                              <w:marLeft w:val="0"/>
                              <w:marRight w:val="0"/>
                              <w:marTop w:val="0"/>
                              <w:marBottom w:val="0"/>
                              <w:divBdr>
                                <w:top w:val="none" w:sz="0" w:space="0" w:color="auto"/>
                                <w:left w:val="none" w:sz="0" w:space="0" w:color="auto"/>
                                <w:bottom w:val="none" w:sz="0" w:space="0" w:color="auto"/>
                                <w:right w:val="none" w:sz="0" w:space="0" w:color="auto"/>
                              </w:divBdr>
                              <w:divsChild>
                                <w:div w:id="1117480837">
                                  <w:marLeft w:val="0"/>
                                  <w:marRight w:val="0"/>
                                  <w:marTop w:val="0"/>
                                  <w:marBottom w:val="0"/>
                                  <w:divBdr>
                                    <w:top w:val="none" w:sz="0" w:space="0" w:color="auto"/>
                                    <w:left w:val="none" w:sz="0" w:space="0" w:color="auto"/>
                                    <w:bottom w:val="none" w:sz="0" w:space="0" w:color="auto"/>
                                    <w:right w:val="none" w:sz="0" w:space="0" w:color="auto"/>
                                  </w:divBdr>
                                  <w:divsChild>
                                    <w:div w:id="341901564">
                                      <w:marLeft w:val="0"/>
                                      <w:marRight w:val="0"/>
                                      <w:marTop w:val="0"/>
                                      <w:marBottom w:val="0"/>
                                      <w:divBdr>
                                        <w:top w:val="none" w:sz="0" w:space="0" w:color="auto"/>
                                        <w:left w:val="none" w:sz="0" w:space="0" w:color="auto"/>
                                        <w:bottom w:val="none" w:sz="0" w:space="0" w:color="auto"/>
                                        <w:right w:val="none" w:sz="0" w:space="0" w:color="auto"/>
                                      </w:divBdr>
                                      <w:divsChild>
                                        <w:div w:id="16089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583957">
          <w:marLeft w:val="0"/>
          <w:marRight w:val="0"/>
          <w:marTop w:val="0"/>
          <w:marBottom w:val="0"/>
          <w:divBdr>
            <w:top w:val="none" w:sz="0" w:space="0" w:color="auto"/>
            <w:left w:val="none" w:sz="0" w:space="0" w:color="auto"/>
            <w:bottom w:val="none" w:sz="0" w:space="0" w:color="auto"/>
            <w:right w:val="none" w:sz="0" w:space="0" w:color="auto"/>
          </w:divBdr>
          <w:divsChild>
            <w:div w:id="1354502634">
              <w:marLeft w:val="0"/>
              <w:marRight w:val="0"/>
              <w:marTop w:val="0"/>
              <w:marBottom w:val="0"/>
              <w:divBdr>
                <w:top w:val="none" w:sz="0" w:space="0" w:color="auto"/>
                <w:left w:val="none" w:sz="0" w:space="0" w:color="auto"/>
                <w:bottom w:val="none" w:sz="0" w:space="0" w:color="auto"/>
                <w:right w:val="none" w:sz="0" w:space="0" w:color="auto"/>
              </w:divBdr>
              <w:divsChild>
                <w:div w:id="776366827">
                  <w:marLeft w:val="0"/>
                  <w:marRight w:val="0"/>
                  <w:marTop w:val="0"/>
                  <w:marBottom w:val="0"/>
                  <w:divBdr>
                    <w:top w:val="none" w:sz="0" w:space="0" w:color="auto"/>
                    <w:left w:val="none" w:sz="0" w:space="0" w:color="auto"/>
                    <w:bottom w:val="none" w:sz="0" w:space="0" w:color="auto"/>
                    <w:right w:val="none" w:sz="0" w:space="0" w:color="auto"/>
                  </w:divBdr>
                  <w:divsChild>
                    <w:div w:id="564296981">
                      <w:marLeft w:val="0"/>
                      <w:marRight w:val="0"/>
                      <w:marTop w:val="0"/>
                      <w:marBottom w:val="0"/>
                      <w:divBdr>
                        <w:top w:val="none" w:sz="0" w:space="0" w:color="auto"/>
                        <w:left w:val="none" w:sz="0" w:space="0" w:color="auto"/>
                        <w:bottom w:val="none" w:sz="0" w:space="0" w:color="auto"/>
                        <w:right w:val="none" w:sz="0" w:space="0" w:color="auto"/>
                      </w:divBdr>
                      <w:divsChild>
                        <w:div w:id="1347631793">
                          <w:marLeft w:val="0"/>
                          <w:marRight w:val="0"/>
                          <w:marTop w:val="0"/>
                          <w:marBottom w:val="0"/>
                          <w:divBdr>
                            <w:top w:val="none" w:sz="0" w:space="0" w:color="auto"/>
                            <w:left w:val="none" w:sz="0" w:space="0" w:color="auto"/>
                            <w:bottom w:val="none" w:sz="0" w:space="0" w:color="auto"/>
                            <w:right w:val="none" w:sz="0" w:space="0" w:color="auto"/>
                          </w:divBdr>
                          <w:divsChild>
                            <w:div w:id="2131703797">
                              <w:marLeft w:val="0"/>
                              <w:marRight w:val="0"/>
                              <w:marTop w:val="0"/>
                              <w:marBottom w:val="0"/>
                              <w:divBdr>
                                <w:top w:val="none" w:sz="0" w:space="0" w:color="auto"/>
                                <w:left w:val="none" w:sz="0" w:space="0" w:color="auto"/>
                                <w:bottom w:val="none" w:sz="0" w:space="0" w:color="auto"/>
                                <w:right w:val="none" w:sz="0" w:space="0" w:color="auto"/>
                              </w:divBdr>
                              <w:divsChild>
                                <w:div w:id="11315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2618">
                  <w:marLeft w:val="0"/>
                  <w:marRight w:val="0"/>
                  <w:marTop w:val="0"/>
                  <w:marBottom w:val="0"/>
                  <w:divBdr>
                    <w:top w:val="none" w:sz="0" w:space="0" w:color="auto"/>
                    <w:left w:val="none" w:sz="0" w:space="0" w:color="auto"/>
                    <w:bottom w:val="none" w:sz="0" w:space="0" w:color="auto"/>
                    <w:right w:val="none" w:sz="0" w:space="0" w:color="auto"/>
                  </w:divBdr>
                  <w:divsChild>
                    <w:div w:id="1832059340">
                      <w:marLeft w:val="0"/>
                      <w:marRight w:val="0"/>
                      <w:marTop w:val="0"/>
                      <w:marBottom w:val="0"/>
                      <w:divBdr>
                        <w:top w:val="none" w:sz="0" w:space="0" w:color="auto"/>
                        <w:left w:val="none" w:sz="0" w:space="0" w:color="auto"/>
                        <w:bottom w:val="none" w:sz="0" w:space="0" w:color="auto"/>
                        <w:right w:val="none" w:sz="0" w:space="0" w:color="auto"/>
                      </w:divBdr>
                      <w:divsChild>
                        <w:div w:id="301619970">
                          <w:marLeft w:val="0"/>
                          <w:marRight w:val="0"/>
                          <w:marTop w:val="0"/>
                          <w:marBottom w:val="0"/>
                          <w:divBdr>
                            <w:top w:val="none" w:sz="0" w:space="0" w:color="auto"/>
                            <w:left w:val="none" w:sz="0" w:space="0" w:color="auto"/>
                            <w:bottom w:val="none" w:sz="0" w:space="0" w:color="auto"/>
                            <w:right w:val="none" w:sz="0" w:space="0" w:color="auto"/>
                          </w:divBdr>
                          <w:divsChild>
                            <w:div w:id="32661331">
                              <w:marLeft w:val="0"/>
                              <w:marRight w:val="0"/>
                              <w:marTop w:val="0"/>
                              <w:marBottom w:val="0"/>
                              <w:divBdr>
                                <w:top w:val="none" w:sz="0" w:space="0" w:color="auto"/>
                                <w:left w:val="none" w:sz="0" w:space="0" w:color="auto"/>
                                <w:bottom w:val="none" w:sz="0" w:space="0" w:color="auto"/>
                                <w:right w:val="none" w:sz="0" w:space="0" w:color="auto"/>
                              </w:divBdr>
                              <w:divsChild>
                                <w:div w:id="806553981">
                                  <w:marLeft w:val="0"/>
                                  <w:marRight w:val="0"/>
                                  <w:marTop w:val="0"/>
                                  <w:marBottom w:val="0"/>
                                  <w:divBdr>
                                    <w:top w:val="none" w:sz="0" w:space="0" w:color="auto"/>
                                    <w:left w:val="none" w:sz="0" w:space="0" w:color="auto"/>
                                    <w:bottom w:val="none" w:sz="0" w:space="0" w:color="auto"/>
                                    <w:right w:val="none" w:sz="0" w:space="0" w:color="auto"/>
                                  </w:divBdr>
                                  <w:divsChild>
                                    <w:div w:id="14570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361301">
      <w:bodyDiv w:val="1"/>
      <w:marLeft w:val="0"/>
      <w:marRight w:val="0"/>
      <w:marTop w:val="0"/>
      <w:marBottom w:val="0"/>
      <w:divBdr>
        <w:top w:val="none" w:sz="0" w:space="0" w:color="auto"/>
        <w:left w:val="none" w:sz="0" w:space="0" w:color="auto"/>
        <w:bottom w:val="none" w:sz="0" w:space="0" w:color="auto"/>
        <w:right w:val="none" w:sz="0" w:space="0" w:color="auto"/>
      </w:divBdr>
      <w:divsChild>
        <w:div w:id="804353759">
          <w:marLeft w:val="0"/>
          <w:marRight w:val="0"/>
          <w:marTop w:val="0"/>
          <w:marBottom w:val="0"/>
          <w:divBdr>
            <w:top w:val="none" w:sz="0" w:space="0" w:color="auto"/>
            <w:left w:val="none" w:sz="0" w:space="0" w:color="auto"/>
            <w:bottom w:val="none" w:sz="0" w:space="0" w:color="auto"/>
            <w:right w:val="none" w:sz="0" w:space="0" w:color="auto"/>
          </w:divBdr>
          <w:divsChild>
            <w:div w:id="756251911">
              <w:marLeft w:val="0"/>
              <w:marRight w:val="0"/>
              <w:marTop w:val="0"/>
              <w:marBottom w:val="0"/>
              <w:divBdr>
                <w:top w:val="none" w:sz="0" w:space="0" w:color="auto"/>
                <w:left w:val="none" w:sz="0" w:space="0" w:color="auto"/>
                <w:bottom w:val="none" w:sz="0" w:space="0" w:color="auto"/>
                <w:right w:val="none" w:sz="0" w:space="0" w:color="auto"/>
              </w:divBdr>
              <w:divsChild>
                <w:div w:id="1464346981">
                  <w:marLeft w:val="0"/>
                  <w:marRight w:val="0"/>
                  <w:marTop w:val="0"/>
                  <w:marBottom w:val="0"/>
                  <w:divBdr>
                    <w:top w:val="none" w:sz="0" w:space="0" w:color="auto"/>
                    <w:left w:val="none" w:sz="0" w:space="0" w:color="auto"/>
                    <w:bottom w:val="none" w:sz="0" w:space="0" w:color="auto"/>
                    <w:right w:val="none" w:sz="0" w:space="0" w:color="auto"/>
                  </w:divBdr>
                  <w:divsChild>
                    <w:div w:id="1356493604">
                      <w:marLeft w:val="0"/>
                      <w:marRight w:val="0"/>
                      <w:marTop w:val="0"/>
                      <w:marBottom w:val="0"/>
                      <w:divBdr>
                        <w:top w:val="none" w:sz="0" w:space="0" w:color="auto"/>
                        <w:left w:val="none" w:sz="0" w:space="0" w:color="auto"/>
                        <w:bottom w:val="none" w:sz="0" w:space="0" w:color="auto"/>
                        <w:right w:val="none" w:sz="0" w:space="0" w:color="auto"/>
                      </w:divBdr>
                      <w:divsChild>
                        <w:div w:id="1970627960">
                          <w:marLeft w:val="0"/>
                          <w:marRight w:val="0"/>
                          <w:marTop w:val="0"/>
                          <w:marBottom w:val="0"/>
                          <w:divBdr>
                            <w:top w:val="none" w:sz="0" w:space="0" w:color="auto"/>
                            <w:left w:val="none" w:sz="0" w:space="0" w:color="auto"/>
                            <w:bottom w:val="none" w:sz="0" w:space="0" w:color="auto"/>
                            <w:right w:val="none" w:sz="0" w:space="0" w:color="auto"/>
                          </w:divBdr>
                          <w:divsChild>
                            <w:div w:id="1486705449">
                              <w:marLeft w:val="0"/>
                              <w:marRight w:val="0"/>
                              <w:marTop w:val="0"/>
                              <w:marBottom w:val="0"/>
                              <w:divBdr>
                                <w:top w:val="none" w:sz="0" w:space="0" w:color="auto"/>
                                <w:left w:val="none" w:sz="0" w:space="0" w:color="auto"/>
                                <w:bottom w:val="none" w:sz="0" w:space="0" w:color="auto"/>
                                <w:right w:val="none" w:sz="0" w:space="0" w:color="auto"/>
                              </w:divBdr>
                              <w:divsChild>
                                <w:div w:id="991258130">
                                  <w:marLeft w:val="0"/>
                                  <w:marRight w:val="0"/>
                                  <w:marTop w:val="0"/>
                                  <w:marBottom w:val="0"/>
                                  <w:divBdr>
                                    <w:top w:val="none" w:sz="0" w:space="0" w:color="auto"/>
                                    <w:left w:val="none" w:sz="0" w:space="0" w:color="auto"/>
                                    <w:bottom w:val="none" w:sz="0" w:space="0" w:color="auto"/>
                                    <w:right w:val="none" w:sz="0" w:space="0" w:color="auto"/>
                                  </w:divBdr>
                                  <w:divsChild>
                                    <w:div w:id="2954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1479">
                          <w:marLeft w:val="0"/>
                          <w:marRight w:val="0"/>
                          <w:marTop w:val="0"/>
                          <w:marBottom w:val="0"/>
                          <w:divBdr>
                            <w:top w:val="none" w:sz="0" w:space="0" w:color="auto"/>
                            <w:left w:val="none" w:sz="0" w:space="0" w:color="auto"/>
                            <w:bottom w:val="none" w:sz="0" w:space="0" w:color="auto"/>
                            <w:right w:val="none" w:sz="0" w:space="0" w:color="auto"/>
                          </w:divBdr>
                          <w:divsChild>
                            <w:div w:id="151142167">
                              <w:marLeft w:val="0"/>
                              <w:marRight w:val="0"/>
                              <w:marTop w:val="0"/>
                              <w:marBottom w:val="0"/>
                              <w:divBdr>
                                <w:top w:val="none" w:sz="0" w:space="0" w:color="auto"/>
                                <w:left w:val="none" w:sz="0" w:space="0" w:color="auto"/>
                                <w:bottom w:val="none" w:sz="0" w:space="0" w:color="auto"/>
                                <w:right w:val="none" w:sz="0" w:space="0" w:color="auto"/>
                              </w:divBdr>
                              <w:divsChild>
                                <w:div w:id="1944681588">
                                  <w:marLeft w:val="0"/>
                                  <w:marRight w:val="0"/>
                                  <w:marTop w:val="0"/>
                                  <w:marBottom w:val="0"/>
                                  <w:divBdr>
                                    <w:top w:val="none" w:sz="0" w:space="0" w:color="auto"/>
                                    <w:left w:val="none" w:sz="0" w:space="0" w:color="auto"/>
                                    <w:bottom w:val="none" w:sz="0" w:space="0" w:color="auto"/>
                                    <w:right w:val="none" w:sz="0" w:space="0" w:color="auto"/>
                                  </w:divBdr>
                                  <w:divsChild>
                                    <w:div w:id="15203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76938">
          <w:marLeft w:val="0"/>
          <w:marRight w:val="0"/>
          <w:marTop w:val="0"/>
          <w:marBottom w:val="0"/>
          <w:divBdr>
            <w:top w:val="none" w:sz="0" w:space="0" w:color="auto"/>
            <w:left w:val="none" w:sz="0" w:space="0" w:color="auto"/>
            <w:bottom w:val="none" w:sz="0" w:space="0" w:color="auto"/>
            <w:right w:val="none" w:sz="0" w:space="0" w:color="auto"/>
          </w:divBdr>
          <w:divsChild>
            <w:div w:id="1666392674">
              <w:marLeft w:val="0"/>
              <w:marRight w:val="0"/>
              <w:marTop w:val="0"/>
              <w:marBottom w:val="0"/>
              <w:divBdr>
                <w:top w:val="none" w:sz="0" w:space="0" w:color="auto"/>
                <w:left w:val="none" w:sz="0" w:space="0" w:color="auto"/>
                <w:bottom w:val="none" w:sz="0" w:space="0" w:color="auto"/>
                <w:right w:val="none" w:sz="0" w:space="0" w:color="auto"/>
              </w:divBdr>
              <w:divsChild>
                <w:div w:id="1368871521">
                  <w:marLeft w:val="0"/>
                  <w:marRight w:val="0"/>
                  <w:marTop w:val="0"/>
                  <w:marBottom w:val="0"/>
                  <w:divBdr>
                    <w:top w:val="none" w:sz="0" w:space="0" w:color="auto"/>
                    <w:left w:val="none" w:sz="0" w:space="0" w:color="auto"/>
                    <w:bottom w:val="none" w:sz="0" w:space="0" w:color="auto"/>
                    <w:right w:val="none" w:sz="0" w:space="0" w:color="auto"/>
                  </w:divBdr>
                  <w:divsChild>
                    <w:div w:id="294334192">
                      <w:marLeft w:val="0"/>
                      <w:marRight w:val="0"/>
                      <w:marTop w:val="0"/>
                      <w:marBottom w:val="0"/>
                      <w:divBdr>
                        <w:top w:val="none" w:sz="0" w:space="0" w:color="auto"/>
                        <w:left w:val="none" w:sz="0" w:space="0" w:color="auto"/>
                        <w:bottom w:val="none" w:sz="0" w:space="0" w:color="auto"/>
                        <w:right w:val="none" w:sz="0" w:space="0" w:color="auto"/>
                      </w:divBdr>
                      <w:divsChild>
                        <w:div w:id="2093890564">
                          <w:marLeft w:val="0"/>
                          <w:marRight w:val="0"/>
                          <w:marTop w:val="0"/>
                          <w:marBottom w:val="0"/>
                          <w:divBdr>
                            <w:top w:val="none" w:sz="0" w:space="0" w:color="auto"/>
                            <w:left w:val="none" w:sz="0" w:space="0" w:color="auto"/>
                            <w:bottom w:val="none" w:sz="0" w:space="0" w:color="auto"/>
                            <w:right w:val="none" w:sz="0" w:space="0" w:color="auto"/>
                          </w:divBdr>
                          <w:divsChild>
                            <w:div w:id="2093774773">
                              <w:marLeft w:val="0"/>
                              <w:marRight w:val="0"/>
                              <w:marTop w:val="0"/>
                              <w:marBottom w:val="0"/>
                              <w:divBdr>
                                <w:top w:val="none" w:sz="0" w:space="0" w:color="auto"/>
                                <w:left w:val="none" w:sz="0" w:space="0" w:color="auto"/>
                                <w:bottom w:val="none" w:sz="0" w:space="0" w:color="auto"/>
                                <w:right w:val="none" w:sz="0" w:space="0" w:color="auto"/>
                              </w:divBdr>
                              <w:divsChild>
                                <w:div w:id="861162221">
                                  <w:marLeft w:val="0"/>
                                  <w:marRight w:val="0"/>
                                  <w:marTop w:val="0"/>
                                  <w:marBottom w:val="0"/>
                                  <w:divBdr>
                                    <w:top w:val="none" w:sz="0" w:space="0" w:color="auto"/>
                                    <w:left w:val="none" w:sz="0" w:space="0" w:color="auto"/>
                                    <w:bottom w:val="none" w:sz="0" w:space="0" w:color="auto"/>
                                    <w:right w:val="none" w:sz="0" w:space="0" w:color="auto"/>
                                  </w:divBdr>
                                  <w:divsChild>
                                    <w:div w:id="8023613">
                                      <w:marLeft w:val="0"/>
                                      <w:marRight w:val="0"/>
                                      <w:marTop w:val="0"/>
                                      <w:marBottom w:val="0"/>
                                      <w:divBdr>
                                        <w:top w:val="none" w:sz="0" w:space="0" w:color="auto"/>
                                        <w:left w:val="none" w:sz="0" w:space="0" w:color="auto"/>
                                        <w:bottom w:val="none" w:sz="0" w:space="0" w:color="auto"/>
                                        <w:right w:val="none" w:sz="0" w:space="0" w:color="auto"/>
                                      </w:divBdr>
                                      <w:divsChild>
                                        <w:div w:id="1289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855265">
          <w:marLeft w:val="0"/>
          <w:marRight w:val="0"/>
          <w:marTop w:val="0"/>
          <w:marBottom w:val="0"/>
          <w:divBdr>
            <w:top w:val="none" w:sz="0" w:space="0" w:color="auto"/>
            <w:left w:val="none" w:sz="0" w:space="0" w:color="auto"/>
            <w:bottom w:val="none" w:sz="0" w:space="0" w:color="auto"/>
            <w:right w:val="none" w:sz="0" w:space="0" w:color="auto"/>
          </w:divBdr>
          <w:divsChild>
            <w:div w:id="1761637553">
              <w:marLeft w:val="0"/>
              <w:marRight w:val="0"/>
              <w:marTop w:val="0"/>
              <w:marBottom w:val="0"/>
              <w:divBdr>
                <w:top w:val="none" w:sz="0" w:space="0" w:color="auto"/>
                <w:left w:val="none" w:sz="0" w:space="0" w:color="auto"/>
                <w:bottom w:val="none" w:sz="0" w:space="0" w:color="auto"/>
                <w:right w:val="none" w:sz="0" w:space="0" w:color="auto"/>
              </w:divBdr>
              <w:divsChild>
                <w:div w:id="1594897976">
                  <w:marLeft w:val="0"/>
                  <w:marRight w:val="0"/>
                  <w:marTop w:val="0"/>
                  <w:marBottom w:val="0"/>
                  <w:divBdr>
                    <w:top w:val="none" w:sz="0" w:space="0" w:color="auto"/>
                    <w:left w:val="none" w:sz="0" w:space="0" w:color="auto"/>
                    <w:bottom w:val="none" w:sz="0" w:space="0" w:color="auto"/>
                    <w:right w:val="none" w:sz="0" w:space="0" w:color="auto"/>
                  </w:divBdr>
                  <w:divsChild>
                    <w:div w:id="1409425116">
                      <w:marLeft w:val="0"/>
                      <w:marRight w:val="0"/>
                      <w:marTop w:val="0"/>
                      <w:marBottom w:val="0"/>
                      <w:divBdr>
                        <w:top w:val="none" w:sz="0" w:space="0" w:color="auto"/>
                        <w:left w:val="none" w:sz="0" w:space="0" w:color="auto"/>
                        <w:bottom w:val="none" w:sz="0" w:space="0" w:color="auto"/>
                        <w:right w:val="none" w:sz="0" w:space="0" w:color="auto"/>
                      </w:divBdr>
                      <w:divsChild>
                        <w:div w:id="1723479196">
                          <w:marLeft w:val="0"/>
                          <w:marRight w:val="0"/>
                          <w:marTop w:val="0"/>
                          <w:marBottom w:val="0"/>
                          <w:divBdr>
                            <w:top w:val="none" w:sz="0" w:space="0" w:color="auto"/>
                            <w:left w:val="none" w:sz="0" w:space="0" w:color="auto"/>
                            <w:bottom w:val="none" w:sz="0" w:space="0" w:color="auto"/>
                            <w:right w:val="none" w:sz="0" w:space="0" w:color="auto"/>
                          </w:divBdr>
                          <w:divsChild>
                            <w:div w:id="1896813789">
                              <w:marLeft w:val="0"/>
                              <w:marRight w:val="0"/>
                              <w:marTop w:val="0"/>
                              <w:marBottom w:val="0"/>
                              <w:divBdr>
                                <w:top w:val="none" w:sz="0" w:space="0" w:color="auto"/>
                                <w:left w:val="none" w:sz="0" w:space="0" w:color="auto"/>
                                <w:bottom w:val="none" w:sz="0" w:space="0" w:color="auto"/>
                                <w:right w:val="none" w:sz="0" w:space="0" w:color="auto"/>
                              </w:divBdr>
                              <w:divsChild>
                                <w:div w:id="20358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37680">
                  <w:marLeft w:val="0"/>
                  <w:marRight w:val="0"/>
                  <w:marTop w:val="0"/>
                  <w:marBottom w:val="0"/>
                  <w:divBdr>
                    <w:top w:val="none" w:sz="0" w:space="0" w:color="auto"/>
                    <w:left w:val="none" w:sz="0" w:space="0" w:color="auto"/>
                    <w:bottom w:val="none" w:sz="0" w:space="0" w:color="auto"/>
                    <w:right w:val="none" w:sz="0" w:space="0" w:color="auto"/>
                  </w:divBdr>
                  <w:divsChild>
                    <w:div w:id="511185940">
                      <w:marLeft w:val="0"/>
                      <w:marRight w:val="0"/>
                      <w:marTop w:val="0"/>
                      <w:marBottom w:val="0"/>
                      <w:divBdr>
                        <w:top w:val="none" w:sz="0" w:space="0" w:color="auto"/>
                        <w:left w:val="none" w:sz="0" w:space="0" w:color="auto"/>
                        <w:bottom w:val="none" w:sz="0" w:space="0" w:color="auto"/>
                        <w:right w:val="none" w:sz="0" w:space="0" w:color="auto"/>
                      </w:divBdr>
                      <w:divsChild>
                        <w:div w:id="811094676">
                          <w:marLeft w:val="0"/>
                          <w:marRight w:val="0"/>
                          <w:marTop w:val="0"/>
                          <w:marBottom w:val="0"/>
                          <w:divBdr>
                            <w:top w:val="none" w:sz="0" w:space="0" w:color="auto"/>
                            <w:left w:val="none" w:sz="0" w:space="0" w:color="auto"/>
                            <w:bottom w:val="none" w:sz="0" w:space="0" w:color="auto"/>
                            <w:right w:val="none" w:sz="0" w:space="0" w:color="auto"/>
                          </w:divBdr>
                          <w:divsChild>
                            <w:div w:id="329253813">
                              <w:marLeft w:val="0"/>
                              <w:marRight w:val="0"/>
                              <w:marTop w:val="0"/>
                              <w:marBottom w:val="0"/>
                              <w:divBdr>
                                <w:top w:val="none" w:sz="0" w:space="0" w:color="auto"/>
                                <w:left w:val="none" w:sz="0" w:space="0" w:color="auto"/>
                                <w:bottom w:val="none" w:sz="0" w:space="0" w:color="auto"/>
                                <w:right w:val="none" w:sz="0" w:space="0" w:color="auto"/>
                              </w:divBdr>
                              <w:divsChild>
                                <w:div w:id="246546929">
                                  <w:marLeft w:val="0"/>
                                  <w:marRight w:val="0"/>
                                  <w:marTop w:val="0"/>
                                  <w:marBottom w:val="0"/>
                                  <w:divBdr>
                                    <w:top w:val="none" w:sz="0" w:space="0" w:color="auto"/>
                                    <w:left w:val="none" w:sz="0" w:space="0" w:color="auto"/>
                                    <w:bottom w:val="none" w:sz="0" w:space="0" w:color="auto"/>
                                    <w:right w:val="none" w:sz="0" w:space="0" w:color="auto"/>
                                  </w:divBdr>
                                  <w:divsChild>
                                    <w:div w:id="19149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953766">
      <w:bodyDiv w:val="1"/>
      <w:marLeft w:val="0"/>
      <w:marRight w:val="0"/>
      <w:marTop w:val="0"/>
      <w:marBottom w:val="0"/>
      <w:divBdr>
        <w:top w:val="none" w:sz="0" w:space="0" w:color="auto"/>
        <w:left w:val="none" w:sz="0" w:space="0" w:color="auto"/>
        <w:bottom w:val="none" w:sz="0" w:space="0" w:color="auto"/>
        <w:right w:val="none" w:sz="0" w:space="0" w:color="auto"/>
      </w:divBdr>
    </w:div>
    <w:div w:id="177871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248-018-01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dt.gradepro.org/app/handbook/handbook.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 Sobia</dc:creator>
  <cp:keywords/>
  <dc:description/>
  <cp:lastModifiedBy>IJRDO Quality</cp:lastModifiedBy>
  <cp:revision>19</cp:revision>
  <dcterms:created xsi:type="dcterms:W3CDTF">2024-11-16T16:16:00Z</dcterms:created>
  <dcterms:modified xsi:type="dcterms:W3CDTF">2024-12-05T10:20:00Z</dcterms:modified>
</cp:coreProperties>
</file>